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0C949" w14:textId="77777777" w:rsidR="00C1581F" w:rsidRDefault="00C1581F">
      <w:pPr>
        <w:spacing w:line="360" w:lineRule="auto"/>
        <w:jc w:val="center"/>
        <w:rPr>
          <w:rFonts w:asciiTheme="minorEastAsia" w:eastAsiaTheme="minorEastAsia" w:hAnsiTheme="minorEastAsia"/>
          <w:b/>
          <w:sz w:val="24"/>
          <w:szCs w:val="24"/>
        </w:rPr>
      </w:pPr>
    </w:p>
    <w:p w14:paraId="7766E7DB" w14:textId="77777777" w:rsidR="00C1581F" w:rsidRDefault="00C1581F">
      <w:pPr>
        <w:spacing w:line="360" w:lineRule="auto"/>
        <w:jc w:val="center"/>
        <w:rPr>
          <w:rFonts w:asciiTheme="minorEastAsia" w:eastAsiaTheme="minorEastAsia" w:hAnsiTheme="minorEastAsia"/>
          <w:b/>
          <w:sz w:val="24"/>
          <w:szCs w:val="24"/>
        </w:rPr>
      </w:pPr>
    </w:p>
    <w:p w14:paraId="41D9C3F4" w14:textId="77777777" w:rsidR="00C1581F" w:rsidRDefault="00C1581F">
      <w:pPr>
        <w:snapToGrid w:val="0"/>
        <w:spacing w:line="360" w:lineRule="auto"/>
        <w:jc w:val="center"/>
        <w:rPr>
          <w:rFonts w:asciiTheme="minorEastAsia" w:eastAsiaTheme="minorEastAsia" w:hAnsiTheme="minorEastAsia"/>
          <w:b/>
          <w:sz w:val="32"/>
          <w:szCs w:val="24"/>
        </w:rPr>
      </w:pPr>
    </w:p>
    <w:p w14:paraId="5A3F4A2C" w14:textId="77777777" w:rsidR="00C1581F" w:rsidRDefault="00C1581F">
      <w:pPr>
        <w:snapToGrid w:val="0"/>
        <w:spacing w:line="360" w:lineRule="auto"/>
        <w:jc w:val="center"/>
        <w:rPr>
          <w:rFonts w:asciiTheme="minorEastAsia" w:eastAsiaTheme="minorEastAsia" w:hAnsiTheme="minorEastAsia"/>
          <w:b/>
          <w:sz w:val="32"/>
          <w:szCs w:val="24"/>
        </w:rPr>
      </w:pPr>
    </w:p>
    <w:p w14:paraId="490D4E5A" w14:textId="77777777" w:rsidR="00C1581F" w:rsidRDefault="00C1581F">
      <w:pPr>
        <w:snapToGrid w:val="0"/>
        <w:spacing w:line="360" w:lineRule="auto"/>
        <w:jc w:val="center"/>
        <w:rPr>
          <w:rFonts w:asciiTheme="minorEastAsia" w:eastAsiaTheme="minorEastAsia" w:hAnsiTheme="minorEastAsia"/>
          <w:b/>
          <w:sz w:val="32"/>
          <w:szCs w:val="24"/>
        </w:rPr>
      </w:pPr>
    </w:p>
    <w:p w14:paraId="1E83C0C4" w14:textId="77777777" w:rsidR="00C1581F" w:rsidRDefault="00C1581F">
      <w:pPr>
        <w:snapToGrid w:val="0"/>
        <w:spacing w:line="360" w:lineRule="auto"/>
        <w:jc w:val="center"/>
        <w:rPr>
          <w:rFonts w:asciiTheme="minorEastAsia" w:eastAsiaTheme="minorEastAsia" w:hAnsiTheme="minorEastAsia"/>
          <w:b/>
          <w:sz w:val="32"/>
          <w:szCs w:val="24"/>
        </w:rPr>
      </w:pPr>
    </w:p>
    <w:p w14:paraId="27E08B3A" w14:textId="77777777" w:rsidR="007C78A7" w:rsidRDefault="004C194B">
      <w:pPr>
        <w:snapToGrid w:val="0"/>
        <w:spacing w:line="360" w:lineRule="auto"/>
        <w:jc w:val="center"/>
        <w:rPr>
          <w:rFonts w:asciiTheme="minorEastAsia" w:eastAsiaTheme="minorEastAsia" w:hAnsiTheme="minorEastAsia"/>
          <w:b/>
          <w:sz w:val="32"/>
          <w:szCs w:val="24"/>
        </w:rPr>
      </w:pPr>
      <w:r w:rsidRPr="000A3C22">
        <w:rPr>
          <w:rFonts w:asciiTheme="minorEastAsia" w:eastAsiaTheme="minorEastAsia" w:hAnsiTheme="minorEastAsia" w:hint="eastAsia"/>
          <w:b/>
          <w:sz w:val="32"/>
          <w:szCs w:val="24"/>
        </w:rPr>
        <w:t>《硅通孔(TSV)电镀质量无损检测方法—X射线计算机断层扫描(X-Ray CT)技术规范》团体标准</w:t>
      </w:r>
    </w:p>
    <w:p w14:paraId="3712D7EC" w14:textId="6C4A0556" w:rsidR="00C1581F" w:rsidRPr="000A3C22" w:rsidRDefault="00F224E6">
      <w:pPr>
        <w:snapToGrid w:val="0"/>
        <w:spacing w:line="360" w:lineRule="auto"/>
        <w:jc w:val="center"/>
        <w:rPr>
          <w:rFonts w:asciiTheme="minorEastAsia" w:eastAsiaTheme="minorEastAsia" w:hAnsiTheme="minorEastAsia"/>
          <w:b/>
          <w:sz w:val="32"/>
          <w:szCs w:val="24"/>
        </w:rPr>
      </w:pPr>
      <w:r>
        <w:rPr>
          <w:rFonts w:asciiTheme="minorEastAsia" w:eastAsiaTheme="minorEastAsia" w:hAnsiTheme="minorEastAsia" w:hint="eastAsia"/>
          <w:b/>
          <w:sz w:val="32"/>
          <w:szCs w:val="24"/>
        </w:rPr>
        <w:t>征求意见稿</w:t>
      </w:r>
      <w:r w:rsidR="004C194B" w:rsidRPr="000A3C22">
        <w:rPr>
          <w:rFonts w:asciiTheme="minorEastAsia" w:eastAsiaTheme="minorEastAsia" w:hAnsiTheme="minorEastAsia" w:hint="eastAsia"/>
          <w:b/>
          <w:sz w:val="32"/>
          <w:szCs w:val="24"/>
        </w:rPr>
        <w:t>编制说明</w:t>
      </w:r>
    </w:p>
    <w:p w14:paraId="68F23905" w14:textId="77777777" w:rsidR="00C1581F" w:rsidRPr="000A3C22" w:rsidRDefault="00C1581F">
      <w:pPr>
        <w:spacing w:line="360" w:lineRule="auto"/>
        <w:jc w:val="center"/>
        <w:rPr>
          <w:rFonts w:asciiTheme="minorEastAsia" w:eastAsiaTheme="minorEastAsia" w:hAnsiTheme="minorEastAsia"/>
          <w:b/>
          <w:sz w:val="24"/>
          <w:szCs w:val="24"/>
        </w:rPr>
      </w:pPr>
    </w:p>
    <w:p w14:paraId="2F826F2D" w14:textId="77777777" w:rsidR="00C1581F" w:rsidRPr="000A3C22" w:rsidRDefault="00C1581F">
      <w:pPr>
        <w:spacing w:line="360" w:lineRule="auto"/>
        <w:jc w:val="center"/>
        <w:rPr>
          <w:rFonts w:asciiTheme="minorEastAsia" w:eastAsiaTheme="minorEastAsia" w:hAnsiTheme="minorEastAsia"/>
          <w:b/>
          <w:sz w:val="24"/>
          <w:szCs w:val="24"/>
        </w:rPr>
      </w:pPr>
    </w:p>
    <w:p w14:paraId="39EFDC94" w14:textId="77777777" w:rsidR="00C1581F" w:rsidRPr="000A3C22" w:rsidRDefault="00C1581F">
      <w:pPr>
        <w:spacing w:line="360" w:lineRule="auto"/>
        <w:jc w:val="center"/>
        <w:rPr>
          <w:rFonts w:asciiTheme="minorEastAsia" w:eastAsiaTheme="minorEastAsia" w:hAnsiTheme="minorEastAsia"/>
          <w:b/>
          <w:sz w:val="24"/>
          <w:szCs w:val="24"/>
        </w:rPr>
      </w:pPr>
    </w:p>
    <w:p w14:paraId="41EDDB54" w14:textId="77777777" w:rsidR="00C1581F" w:rsidRPr="000A3C22" w:rsidRDefault="00C1581F">
      <w:pPr>
        <w:spacing w:line="360" w:lineRule="auto"/>
        <w:jc w:val="center"/>
        <w:rPr>
          <w:rFonts w:asciiTheme="minorEastAsia" w:eastAsiaTheme="minorEastAsia" w:hAnsiTheme="minorEastAsia"/>
          <w:b/>
          <w:sz w:val="24"/>
          <w:szCs w:val="24"/>
        </w:rPr>
      </w:pPr>
    </w:p>
    <w:p w14:paraId="5D03FCE1" w14:textId="77777777" w:rsidR="00C1581F" w:rsidRPr="000A3C22" w:rsidRDefault="00C1581F">
      <w:pPr>
        <w:spacing w:line="360" w:lineRule="auto"/>
        <w:jc w:val="center"/>
        <w:rPr>
          <w:rFonts w:asciiTheme="minorEastAsia" w:eastAsiaTheme="minorEastAsia" w:hAnsiTheme="minorEastAsia"/>
          <w:b/>
          <w:sz w:val="24"/>
          <w:szCs w:val="24"/>
        </w:rPr>
      </w:pPr>
    </w:p>
    <w:p w14:paraId="7D093BFF" w14:textId="77777777" w:rsidR="00C1581F" w:rsidRPr="000A3C22" w:rsidRDefault="00C1581F">
      <w:pPr>
        <w:spacing w:line="360" w:lineRule="auto"/>
        <w:jc w:val="center"/>
        <w:rPr>
          <w:rFonts w:asciiTheme="minorEastAsia" w:eastAsiaTheme="minorEastAsia" w:hAnsiTheme="minorEastAsia"/>
          <w:b/>
          <w:sz w:val="24"/>
          <w:szCs w:val="24"/>
        </w:rPr>
      </w:pPr>
    </w:p>
    <w:p w14:paraId="664F93EE" w14:textId="77777777" w:rsidR="00C1581F" w:rsidRPr="000A3C22" w:rsidRDefault="00C1581F">
      <w:pPr>
        <w:spacing w:line="360" w:lineRule="auto"/>
        <w:jc w:val="center"/>
        <w:rPr>
          <w:rFonts w:asciiTheme="minorEastAsia" w:eastAsiaTheme="minorEastAsia" w:hAnsiTheme="minorEastAsia"/>
          <w:b/>
          <w:sz w:val="24"/>
          <w:szCs w:val="24"/>
        </w:rPr>
      </w:pPr>
    </w:p>
    <w:p w14:paraId="15EAF9B0" w14:textId="77777777" w:rsidR="00C1581F" w:rsidRPr="000A3C22" w:rsidRDefault="00C1581F">
      <w:pPr>
        <w:spacing w:line="360" w:lineRule="auto"/>
        <w:jc w:val="center"/>
        <w:rPr>
          <w:rFonts w:asciiTheme="minorEastAsia" w:eastAsiaTheme="minorEastAsia" w:hAnsiTheme="minorEastAsia"/>
          <w:b/>
          <w:sz w:val="24"/>
          <w:szCs w:val="24"/>
        </w:rPr>
      </w:pPr>
    </w:p>
    <w:p w14:paraId="7279A1D0" w14:textId="77777777" w:rsidR="00C1581F" w:rsidRPr="000A3C22" w:rsidRDefault="00C1581F">
      <w:pPr>
        <w:spacing w:line="360" w:lineRule="auto"/>
        <w:jc w:val="center"/>
        <w:rPr>
          <w:rFonts w:asciiTheme="minorEastAsia" w:eastAsiaTheme="minorEastAsia" w:hAnsiTheme="minorEastAsia"/>
          <w:b/>
          <w:sz w:val="24"/>
          <w:szCs w:val="24"/>
        </w:rPr>
      </w:pPr>
    </w:p>
    <w:p w14:paraId="3F419057" w14:textId="77777777" w:rsidR="00C1581F" w:rsidRPr="000A3C22" w:rsidRDefault="00C1581F">
      <w:pPr>
        <w:spacing w:line="360" w:lineRule="auto"/>
        <w:jc w:val="center"/>
        <w:rPr>
          <w:rFonts w:asciiTheme="minorEastAsia" w:eastAsiaTheme="minorEastAsia" w:hAnsiTheme="minorEastAsia"/>
          <w:b/>
          <w:sz w:val="24"/>
          <w:szCs w:val="24"/>
        </w:rPr>
      </w:pPr>
    </w:p>
    <w:p w14:paraId="514B231C" w14:textId="77777777" w:rsidR="00C1581F" w:rsidRPr="000A3C22" w:rsidRDefault="00C1581F">
      <w:pPr>
        <w:spacing w:line="360" w:lineRule="auto"/>
        <w:jc w:val="center"/>
        <w:rPr>
          <w:rFonts w:asciiTheme="minorEastAsia" w:eastAsiaTheme="minorEastAsia" w:hAnsiTheme="minorEastAsia"/>
          <w:b/>
          <w:sz w:val="24"/>
          <w:szCs w:val="24"/>
        </w:rPr>
      </w:pPr>
    </w:p>
    <w:p w14:paraId="4A8ECA47" w14:textId="77777777" w:rsidR="00C1581F" w:rsidRPr="000A3C22" w:rsidRDefault="00C1581F">
      <w:pPr>
        <w:spacing w:line="360" w:lineRule="auto"/>
        <w:jc w:val="center"/>
        <w:rPr>
          <w:rFonts w:asciiTheme="minorEastAsia" w:eastAsiaTheme="minorEastAsia" w:hAnsiTheme="minorEastAsia"/>
          <w:b/>
          <w:sz w:val="24"/>
          <w:szCs w:val="24"/>
        </w:rPr>
      </w:pPr>
    </w:p>
    <w:p w14:paraId="62F2EF37" w14:textId="77777777" w:rsidR="00C1581F" w:rsidRPr="000A3C22" w:rsidRDefault="00C1581F">
      <w:pPr>
        <w:spacing w:line="360" w:lineRule="auto"/>
        <w:jc w:val="center"/>
        <w:rPr>
          <w:rFonts w:asciiTheme="minorEastAsia" w:eastAsiaTheme="minorEastAsia" w:hAnsiTheme="minorEastAsia"/>
          <w:b/>
          <w:sz w:val="24"/>
          <w:szCs w:val="24"/>
        </w:rPr>
      </w:pPr>
    </w:p>
    <w:p w14:paraId="1CD000A0" w14:textId="77777777" w:rsidR="00C1581F" w:rsidRPr="000A3C22" w:rsidRDefault="00C1581F">
      <w:pPr>
        <w:spacing w:line="360" w:lineRule="auto"/>
        <w:jc w:val="center"/>
        <w:rPr>
          <w:rFonts w:asciiTheme="minorEastAsia" w:eastAsiaTheme="minorEastAsia" w:hAnsiTheme="minorEastAsia"/>
          <w:b/>
          <w:sz w:val="24"/>
          <w:szCs w:val="24"/>
        </w:rPr>
      </w:pPr>
    </w:p>
    <w:p w14:paraId="72B4C653" w14:textId="77777777" w:rsidR="00C1581F" w:rsidRPr="000A3C22" w:rsidRDefault="00C1581F">
      <w:pPr>
        <w:spacing w:line="360" w:lineRule="auto"/>
        <w:jc w:val="center"/>
        <w:rPr>
          <w:rFonts w:asciiTheme="minorEastAsia" w:eastAsiaTheme="minorEastAsia" w:hAnsiTheme="minorEastAsia"/>
          <w:b/>
          <w:sz w:val="24"/>
          <w:szCs w:val="24"/>
        </w:rPr>
      </w:pPr>
    </w:p>
    <w:p w14:paraId="1C2953F1" w14:textId="77777777" w:rsidR="00C1581F" w:rsidRPr="000A3C22" w:rsidRDefault="004C194B">
      <w:pPr>
        <w:spacing w:line="360" w:lineRule="auto"/>
        <w:ind w:left="3132" w:hangingChars="1300" w:hanging="3132"/>
        <w:jc w:val="left"/>
        <w:rPr>
          <w:rFonts w:asciiTheme="minorEastAsia" w:eastAsiaTheme="minorEastAsia" w:hAnsiTheme="minorEastAsia"/>
          <w:b/>
          <w:sz w:val="24"/>
          <w:szCs w:val="24"/>
        </w:rPr>
      </w:pPr>
      <w:r w:rsidRPr="000A3C22">
        <w:rPr>
          <w:rFonts w:asciiTheme="minorEastAsia" w:eastAsiaTheme="minorEastAsia" w:hAnsiTheme="minorEastAsia" w:hint="eastAsia"/>
          <w:b/>
          <w:color w:val="000000"/>
          <w:sz w:val="24"/>
          <w:szCs w:val="24"/>
        </w:rPr>
        <w:t>硅通孔(TSV)电镀质量无损检测方法—X射线计算机断层扫描(X-Ray CT)技术规范标准工作组</w:t>
      </w:r>
    </w:p>
    <w:p w14:paraId="78860CB4" w14:textId="6F396D5B" w:rsidR="00C1581F" w:rsidRPr="000A3C22" w:rsidRDefault="004C194B">
      <w:pPr>
        <w:spacing w:line="360" w:lineRule="auto"/>
        <w:ind w:firstLineChars="1200" w:firstLine="2891"/>
        <w:rPr>
          <w:rFonts w:asciiTheme="minorEastAsia" w:eastAsiaTheme="minorEastAsia" w:hAnsiTheme="minorEastAsia"/>
          <w:b/>
          <w:sz w:val="24"/>
          <w:szCs w:val="24"/>
        </w:rPr>
      </w:pPr>
      <w:r w:rsidRPr="000A3C22">
        <w:rPr>
          <w:rFonts w:asciiTheme="minorEastAsia" w:eastAsiaTheme="minorEastAsia" w:hAnsiTheme="minorEastAsia"/>
          <w:b/>
          <w:sz w:val="24"/>
          <w:szCs w:val="24"/>
        </w:rPr>
        <w:t>2025年</w:t>
      </w:r>
      <w:r w:rsidR="00F224E6">
        <w:rPr>
          <w:rFonts w:asciiTheme="minorEastAsia" w:eastAsiaTheme="minorEastAsia" w:hAnsiTheme="minorEastAsia"/>
          <w:b/>
          <w:sz w:val="24"/>
          <w:szCs w:val="24"/>
        </w:rPr>
        <w:t>7</w:t>
      </w:r>
      <w:r w:rsidRPr="000A3C22">
        <w:rPr>
          <w:rFonts w:asciiTheme="minorEastAsia" w:eastAsiaTheme="minorEastAsia" w:hAnsiTheme="minorEastAsia"/>
          <w:b/>
          <w:sz w:val="24"/>
          <w:szCs w:val="24"/>
        </w:rPr>
        <w:t>月</w:t>
      </w:r>
      <w:r w:rsidR="007407D1">
        <w:rPr>
          <w:rFonts w:asciiTheme="minorEastAsia" w:eastAsiaTheme="minorEastAsia" w:hAnsiTheme="minorEastAsia"/>
          <w:b/>
          <w:sz w:val="24"/>
          <w:szCs w:val="24"/>
        </w:rPr>
        <w:t>14</w:t>
      </w:r>
      <w:r w:rsidRPr="000A3C22">
        <w:rPr>
          <w:rFonts w:asciiTheme="minorEastAsia" w:eastAsiaTheme="minorEastAsia" w:hAnsiTheme="minorEastAsia"/>
          <w:b/>
          <w:sz w:val="24"/>
          <w:szCs w:val="24"/>
        </w:rPr>
        <w:t>日</w:t>
      </w:r>
      <w:r w:rsidRPr="000A3C22">
        <w:rPr>
          <w:rFonts w:asciiTheme="minorEastAsia" w:eastAsiaTheme="minorEastAsia" w:hAnsiTheme="minorEastAsia"/>
          <w:b/>
          <w:sz w:val="24"/>
          <w:szCs w:val="24"/>
        </w:rPr>
        <w:br w:type="page"/>
      </w:r>
    </w:p>
    <w:p w14:paraId="49A25285" w14:textId="77777777" w:rsidR="00C1581F" w:rsidRPr="000A3C22" w:rsidRDefault="004C194B">
      <w:pPr>
        <w:pStyle w:val="affa"/>
        <w:numPr>
          <w:ilvl w:val="0"/>
          <w:numId w:val="11"/>
        </w:numPr>
        <w:spacing w:line="360" w:lineRule="auto"/>
        <w:ind w:left="505" w:firstLineChars="0" w:hanging="505"/>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lastRenderedPageBreak/>
        <w:t>工作简况</w:t>
      </w:r>
    </w:p>
    <w:p w14:paraId="73449F57" w14:textId="77777777" w:rsidR="00C1581F" w:rsidRPr="000A3C22" w:rsidRDefault="004C194B">
      <w:pPr>
        <w:pStyle w:val="affa"/>
        <w:numPr>
          <w:ilvl w:val="0"/>
          <w:numId w:val="12"/>
        </w:numPr>
        <w:spacing w:line="360" w:lineRule="auto"/>
        <w:ind w:firstLineChars="0"/>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任务来源、起草单位、起草人</w:t>
      </w:r>
    </w:p>
    <w:p w14:paraId="2AA1C372" w14:textId="4005AA07" w:rsidR="00C1581F" w:rsidRPr="000A3C22" w:rsidRDefault="004C194B">
      <w:pPr>
        <w:spacing w:line="360" w:lineRule="auto"/>
        <w:ind w:firstLineChars="200" w:firstLine="472"/>
        <w:rPr>
          <w:rFonts w:asciiTheme="minorEastAsia" w:eastAsiaTheme="minorEastAsia" w:hAnsiTheme="minorEastAsia"/>
          <w:color w:val="000000"/>
          <w:spacing w:val="-2"/>
          <w:kern w:val="0"/>
          <w:sz w:val="24"/>
          <w:szCs w:val="24"/>
        </w:rPr>
      </w:pPr>
      <w:r w:rsidRPr="000A3C22">
        <w:rPr>
          <w:rFonts w:asciiTheme="minorEastAsia" w:eastAsiaTheme="minorEastAsia" w:hAnsiTheme="minorEastAsia" w:hint="eastAsia"/>
          <w:color w:val="000000"/>
          <w:spacing w:val="-2"/>
          <w:kern w:val="0"/>
          <w:sz w:val="24"/>
          <w:szCs w:val="24"/>
        </w:rPr>
        <w:t>硅通孔作为三维异质异构集成领域的核心关键技术，其制造质量直接影响到先进封装产品(如3D IC、</w:t>
      </w:r>
      <w:proofErr w:type="spellStart"/>
      <w:r w:rsidRPr="000A3C22">
        <w:rPr>
          <w:rFonts w:asciiTheme="minorEastAsia" w:eastAsiaTheme="minorEastAsia" w:hAnsiTheme="minorEastAsia" w:hint="eastAsia"/>
          <w:color w:val="000000"/>
          <w:spacing w:val="-2"/>
          <w:kern w:val="0"/>
          <w:sz w:val="24"/>
          <w:szCs w:val="24"/>
        </w:rPr>
        <w:t>Chiplet</w:t>
      </w:r>
      <w:proofErr w:type="spellEnd"/>
      <w:r w:rsidRPr="000A3C22">
        <w:rPr>
          <w:rFonts w:asciiTheme="minorEastAsia" w:eastAsiaTheme="minorEastAsia" w:hAnsiTheme="minorEastAsia" w:hint="eastAsia"/>
          <w:color w:val="000000"/>
          <w:spacing w:val="-2"/>
          <w:kern w:val="0"/>
          <w:sz w:val="24"/>
          <w:szCs w:val="24"/>
        </w:rPr>
        <w:t>等)的质量和可靠性</w:t>
      </w:r>
      <w:r w:rsidR="00C55CF1">
        <w:rPr>
          <w:rFonts w:asciiTheme="minorEastAsia" w:eastAsiaTheme="minorEastAsia" w:hAnsiTheme="minorEastAsia" w:hint="eastAsia"/>
          <w:color w:val="000000"/>
          <w:spacing w:val="-2"/>
          <w:kern w:val="0"/>
          <w:sz w:val="24"/>
          <w:szCs w:val="24"/>
        </w:rPr>
        <w:t>，</w:t>
      </w:r>
      <w:r w:rsidRPr="000A3C22">
        <w:rPr>
          <w:rFonts w:asciiTheme="minorEastAsia" w:eastAsiaTheme="minorEastAsia" w:hAnsiTheme="minorEastAsia" w:hint="eastAsia"/>
          <w:color w:val="000000"/>
          <w:spacing w:val="-2"/>
          <w:kern w:val="0"/>
          <w:sz w:val="24"/>
          <w:szCs w:val="24"/>
        </w:rPr>
        <w:t>由于半导体行业的特殊性，对测量方法和结果有着严格的要求，因此需要制定相关的标准来规范测量过程。</w:t>
      </w:r>
      <w:r w:rsidRPr="000A3C22">
        <w:rPr>
          <w:rFonts w:asciiTheme="minorEastAsia" w:eastAsiaTheme="minorEastAsia" w:hAnsiTheme="minorEastAsia"/>
          <w:color w:val="000000"/>
          <w:spacing w:val="-2"/>
          <w:kern w:val="0"/>
          <w:sz w:val="24"/>
          <w:szCs w:val="24"/>
        </w:rPr>
        <w:t>本课题选择</w:t>
      </w:r>
      <w:r w:rsidRPr="000A3C22">
        <w:rPr>
          <w:rFonts w:asciiTheme="minorEastAsia" w:eastAsiaTheme="minorEastAsia" w:hAnsiTheme="minorEastAsia" w:hint="eastAsia"/>
          <w:color w:val="000000"/>
          <w:spacing w:val="-2"/>
          <w:kern w:val="0"/>
          <w:sz w:val="24"/>
          <w:szCs w:val="24"/>
        </w:rPr>
        <w:t>硅通孔电镀质量无损检测方法—X射线计算机断层扫描技术规范等</w:t>
      </w:r>
      <w:r w:rsidRPr="000A3C22">
        <w:rPr>
          <w:rFonts w:asciiTheme="minorEastAsia" w:eastAsiaTheme="minorEastAsia" w:hAnsiTheme="minorEastAsia"/>
          <w:color w:val="000000"/>
          <w:spacing w:val="-2"/>
          <w:kern w:val="0"/>
          <w:sz w:val="24"/>
          <w:szCs w:val="24"/>
        </w:rPr>
        <w:t>自主标准，建立相应的标准体系，对提升我省集成电路封装企业竞争力，抢占发展制高点，实现</w:t>
      </w:r>
      <w:r w:rsidRPr="000A3C22">
        <w:rPr>
          <w:rFonts w:asciiTheme="minorEastAsia" w:eastAsiaTheme="minorEastAsia" w:hAnsiTheme="minorEastAsia" w:hint="eastAsia"/>
          <w:color w:val="000000"/>
          <w:spacing w:val="-2"/>
          <w:kern w:val="0"/>
          <w:sz w:val="24"/>
          <w:szCs w:val="24"/>
        </w:rPr>
        <w:t>产业可持续发展，都具有重要和积极的意义。华进半导体牵头邀请微电子研究所及</w:t>
      </w:r>
      <w:proofErr w:type="gramStart"/>
      <w:r w:rsidRPr="000A3C22">
        <w:rPr>
          <w:rFonts w:asciiTheme="minorEastAsia" w:eastAsiaTheme="minorEastAsia" w:hAnsiTheme="minorEastAsia" w:hint="eastAsia"/>
          <w:color w:val="000000"/>
          <w:spacing w:val="-2"/>
          <w:kern w:val="0"/>
          <w:sz w:val="24"/>
          <w:szCs w:val="24"/>
        </w:rPr>
        <w:t>国内封测行业</w:t>
      </w:r>
      <w:proofErr w:type="gramEnd"/>
      <w:r w:rsidRPr="000A3C22">
        <w:rPr>
          <w:rFonts w:asciiTheme="minorEastAsia" w:eastAsiaTheme="minorEastAsia" w:hAnsiTheme="minorEastAsia" w:hint="eastAsia"/>
          <w:color w:val="000000"/>
          <w:spacing w:val="-2"/>
          <w:kern w:val="0"/>
          <w:sz w:val="24"/>
          <w:szCs w:val="24"/>
        </w:rPr>
        <w:t>单位向江苏省半导体行业协会申请立项，编制《硅通孔(TSV)电镀质量无损检测方法—X射线计算机断层扫描(X-Ray CT)技术规范》团体标准。</w:t>
      </w:r>
    </w:p>
    <w:p w14:paraId="1AD3A330" w14:textId="74A1F996" w:rsidR="00C1581F" w:rsidRPr="000A3C22" w:rsidRDefault="004C194B">
      <w:pPr>
        <w:spacing w:line="360" w:lineRule="auto"/>
        <w:ind w:firstLineChars="200" w:firstLine="472"/>
        <w:rPr>
          <w:rFonts w:asciiTheme="minorEastAsia" w:eastAsiaTheme="minorEastAsia" w:hAnsiTheme="minorEastAsia"/>
          <w:color w:val="000000"/>
          <w:spacing w:val="-2"/>
          <w:kern w:val="0"/>
          <w:sz w:val="24"/>
          <w:szCs w:val="24"/>
        </w:rPr>
      </w:pPr>
      <w:r w:rsidRPr="000A3C22">
        <w:rPr>
          <w:rFonts w:asciiTheme="minorEastAsia" w:eastAsiaTheme="minorEastAsia" w:hAnsiTheme="minorEastAsia" w:hint="eastAsia"/>
          <w:color w:val="000000"/>
          <w:spacing w:val="-2"/>
          <w:kern w:val="0"/>
          <w:sz w:val="24"/>
          <w:szCs w:val="24"/>
        </w:rPr>
        <w:t>本标准起草单位：华进半导体封装先导技术研发中心有限公司、中国科学院微电子研究</w:t>
      </w:r>
      <w:r w:rsidR="009A512E">
        <w:rPr>
          <w:rFonts w:asciiTheme="minorEastAsia" w:eastAsiaTheme="minorEastAsia" w:hAnsiTheme="minorEastAsia" w:hint="eastAsia"/>
          <w:color w:val="000000"/>
          <w:spacing w:val="-2"/>
          <w:kern w:val="0"/>
          <w:sz w:val="24"/>
          <w:szCs w:val="24"/>
        </w:rPr>
        <w:t>所</w:t>
      </w:r>
      <w:r w:rsidRPr="000A3C22">
        <w:rPr>
          <w:rFonts w:asciiTheme="minorEastAsia" w:eastAsiaTheme="minorEastAsia" w:hAnsiTheme="minorEastAsia" w:hint="eastAsia"/>
          <w:color w:val="000000"/>
          <w:spacing w:val="-2"/>
          <w:kern w:val="0"/>
          <w:sz w:val="24"/>
          <w:szCs w:val="24"/>
        </w:rPr>
        <w:t>、国家集成电路封</w:t>
      </w:r>
      <w:proofErr w:type="gramStart"/>
      <w:r w:rsidRPr="000A3C22">
        <w:rPr>
          <w:rFonts w:asciiTheme="minorEastAsia" w:eastAsiaTheme="minorEastAsia" w:hAnsiTheme="minorEastAsia" w:hint="eastAsia"/>
          <w:color w:val="000000"/>
          <w:spacing w:val="-2"/>
          <w:kern w:val="0"/>
          <w:sz w:val="24"/>
          <w:szCs w:val="24"/>
        </w:rPr>
        <w:t>测产业链技术</w:t>
      </w:r>
      <w:proofErr w:type="gramEnd"/>
      <w:r w:rsidRPr="000A3C22">
        <w:rPr>
          <w:rFonts w:asciiTheme="minorEastAsia" w:eastAsiaTheme="minorEastAsia" w:hAnsiTheme="minorEastAsia" w:hint="eastAsia"/>
          <w:color w:val="000000"/>
          <w:spacing w:val="-2"/>
          <w:kern w:val="0"/>
          <w:sz w:val="24"/>
          <w:szCs w:val="24"/>
        </w:rPr>
        <w:t>创新战略联</w:t>
      </w:r>
      <w:r w:rsidR="00282986">
        <w:rPr>
          <w:rFonts w:asciiTheme="minorEastAsia" w:eastAsiaTheme="minorEastAsia" w:hAnsiTheme="minorEastAsia" w:hint="eastAsia"/>
          <w:color w:val="000000"/>
          <w:spacing w:val="-2"/>
          <w:kern w:val="0"/>
          <w:sz w:val="24"/>
          <w:szCs w:val="24"/>
        </w:rPr>
        <w:t>盟等</w:t>
      </w:r>
      <w:r w:rsidRPr="000A3C22">
        <w:rPr>
          <w:rFonts w:asciiTheme="minorEastAsia" w:eastAsiaTheme="minorEastAsia" w:hAnsiTheme="minorEastAsia" w:hint="eastAsia"/>
          <w:color w:val="000000"/>
          <w:spacing w:val="-2"/>
          <w:kern w:val="0"/>
          <w:sz w:val="24"/>
          <w:szCs w:val="24"/>
        </w:rPr>
        <w:t>。</w:t>
      </w:r>
    </w:p>
    <w:p w14:paraId="442839CF" w14:textId="77777777" w:rsidR="00C1581F" w:rsidRPr="000A3C22" w:rsidRDefault="004C194B">
      <w:pPr>
        <w:spacing w:line="360" w:lineRule="auto"/>
        <w:ind w:firstLineChars="200" w:firstLine="472"/>
        <w:jc w:val="left"/>
        <w:rPr>
          <w:rFonts w:asciiTheme="minorEastAsia" w:eastAsiaTheme="minorEastAsia" w:hAnsiTheme="minorEastAsia"/>
          <w:color w:val="000000"/>
          <w:spacing w:val="-2"/>
          <w:kern w:val="0"/>
          <w:sz w:val="24"/>
          <w:szCs w:val="24"/>
        </w:rPr>
      </w:pPr>
      <w:r w:rsidRPr="000A3C22">
        <w:rPr>
          <w:rFonts w:asciiTheme="minorEastAsia" w:eastAsiaTheme="minorEastAsia" w:hAnsiTheme="minorEastAsia" w:hint="eastAsia"/>
          <w:color w:val="000000"/>
          <w:spacing w:val="-2"/>
          <w:kern w:val="0"/>
          <w:sz w:val="24"/>
          <w:szCs w:val="24"/>
        </w:rPr>
        <w:t>本标准主要起草人：</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46"/>
        <w:gridCol w:w="1430"/>
        <w:gridCol w:w="2553"/>
      </w:tblGrid>
      <w:tr w:rsidR="00C1581F" w:rsidRPr="00C06F22" w14:paraId="3B4343FA" w14:textId="77777777">
        <w:trPr>
          <w:trHeight w:val="288"/>
        </w:trPr>
        <w:tc>
          <w:tcPr>
            <w:tcW w:w="8217" w:type="dxa"/>
            <w:gridSpan w:val="4"/>
            <w:shd w:val="clear" w:color="auto" w:fill="auto"/>
            <w:noWrap/>
            <w:vAlign w:val="center"/>
          </w:tcPr>
          <w:p w14:paraId="563E9E14"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团体标准工作组成员名单及分工</w:t>
            </w:r>
          </w:p>
        </w:tc>
      </w:tr>
      <w:tr w:rsidR="00C1581F" w:rsidRPr="00C06F22" w14:paraId="3E4631EB" w14:textId="77777777">
        <w:trPr>
          <w:trHeight w:val="288"/>
        </w:trPr>
        <w:tc>
          <w:tcPr>
            <w:tcW w:w="988" w:type="dxa"/>
            <w:shd w:val="clear" w:color="auto" w:fill="auto"/>
            <w:noWrap/>
            <w:vAlign w:val="center"/>
          </w:tcPr>
          <w:p w14:paraId="1E939814"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姓名</w:t>
            </w:r>
          </w:p>
        </w:tc>
        <w:tc>
          <w:tcPr>
            <w:tcW w:w="3246" w:type="dxa"/>
            <w:shd w:val="clear" w:color="auto" w:fill="auto"/>
            <w:noWrap/>
            <w:vAlign w:val="center"/>
          </w:tcPr>
          <w:p w14:paraId="1F3DEAF8"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单位</w:t>
            </w:r>
          </w:p>
        </w:tc>
        <w:tc>
          <w:tcPr>
            <w:tcW w:w="1430" w:type="dxa"/>
            <w:shd w:val="clear" w:color="auto" w:fill="auto"/>
            <w:noWrap/>
            <w:vAlign w:val="center"/>
          </w:tcPr>
          <w:p w14:paraId="256BEC4F"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任职部门</w:t>
            </w:r>
          </w:p>
        </w:tc>
        <w:tc>
          <w:tcPr>
            <w:tcW w:w="2553" w:type="dxa"/>
            <w:shd w:val="clear" w:color="auto" w:fill="auto"/>
            <w:noWrap/>
            <w:vAlign w:val="center"/>
          </w:tcPr>
          <w:p w14:paraId="38555FBA"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组内分工</w:t>
            </w:r>
          </w:p>
        </w:tc>
      </w:tr>
      <w:tr w:rsidR="00C1581F" w:rsidRPr="00C06F22" w14:paraId="39306750" w14:textId="77777777">
        <w:trPr>
          <w:trHeight w:val="568"/>
        </w:trPr>
        <w:tc>
          <w:tcPr>
            <w:tcW w:w="988" w:type="dxa"/>
            <w:shd w:val="clear" w:color="auto" w:fill="auto"/>
            <w:vAlign w:val="center"/>
          </w:tcPr>
          <w:p w14:paraId="25F5EBED"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曹立强</w:t>
            </w:r>
          </w:p>
        </w:tc>
        <w:tc>
          <w:tcPr>
            <w:tcW w:w="3246" w:type="dxa"/>
            <w:shd w:val="clear" w:color="auto" w:fill="auto"/>
            <w:vAlign w:val="center"/>
          </w:tcPr>
          <w:p w14:paraId="6668979F"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hint="eastAsia"/>
                <w:sz w:val="24"/>
                <w:szCs w:val="24"/>
              </w:rPr>
              <w:t>华进半导体封装先导技术研发中心有限公司</w:t>
            </w:r>
          </w:p>
        </w:tc>
        <w:tc>
          <w:tcPr>
            <w:tcW w:w="1430" w:type="dxa"/>
            <w:shd w:val="clear" w:color="auto" w:fill="auto"/>
            <w:vAlign w:val="center"/>
          </w:tcPr>
          <w:p w14:paraId="558D9543"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创新中心</w:t>
            </w:r>
          </w:p>
        </w:tc>
        <w:tc>
          <w:tcPr>
            <w:tcW w:w="2553" w:type="dxa"/>
            <w:shd w:val="clear" w:color="auto" w:fill="auto"/>
            <w:vAlign w:val="center"/>
          </w:tcPr>
          <w:p w14:paraId="33A417C3"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组长，该标准项目管理</w:t>
            </w:r>
            <w:r w:rsidRPr="00C06F22">
              <w:rPr>
                <w:rFonts w:asciiTheme="minorEastAsia" w:eastAsiaTheme="minorEastAsia" w:hAnsiTheme="minorEastAsia" w:cs="宋体"/>
                <w:color w:val="000000"/>
                <w:kern w:val="0"/>
                <w:sz w:val="24"/>
                <w:szCs w:val="24"/>
              </w:rPr>
              <w:t xml:space="preserve"> </w:t>
            </w:r>
          </w:p>
        </w:tc>
      </w:tr>
      <w:tr w:rsidR="00C1581F" w:rsidRPr="00C06F22" w14:paraId="100D100C" w14:textId="77777777">
        <w:trPr>
          <w:trHeight w:val="378"/>
        </w:trPr>
        <w:tc>
          <w:tcPr>
            <w:tcW w:w="988" w:type="dxa"/>
            <w:shd w:val="clear" w:color="auto" w:fill="auto"/>
            <w:vAlign w:val="center"/>
          </w:tcPr>
          <w:p w14:paraId="10F828E1"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proofErr w:type="gramStart"/>
            <w:r w:rsidRPr="00C06F22">
              <w:rPr>
                <w:rFonts w:asciiTheme="minorEastAsia" w:eastAsiaTheme="minorEastAsia" w:hAnsiTheme="minorEastAsia" w:cs="宋体" w:hint="eastAsia"/>
                <w:color w:val="000000"/>
                <w:kern w:val="0"/>
                <w:sz w:val="24"/>
                <w:szCs w:val="24"/>
              </w:rPr>
              <w:t>孙鹏</w:t>
            </w:r>
            <w:proofErr w:type="gramEnd"/>
          </w:p>
        </w:tc>
        <w:tc>
          <w:tcPr>
            <w:tcW w:w="3246" w:type="dxa"/>
            <w:shd w:val="clear" w:color="auto" w:fill="auto"/>
            <w:vAlign w:val="center"/>
          </w:tcPr>
          <w:p w14:paraId="1B44F7CA"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hint="eastAsia"/>
                <w:sz w:val="24"/>
                <w:szCs w:val="24"/>
              </w:rPr>
              <w:t>华进半导体封装先导技术研发中心有限公司</w:t>
            </w:r>
          </w:p>
        </w:tc>
        <w:tc>
          <w:tcPr>
            <w:tcW w:w="1430" w:type="dxa"/>
            <w:shd w:val="clear" w:color="auto" w:fill="auto"/>
            <w:vAlign w:val="center"/>
          </w:tcPr>
          <w:p w14:paraId="3FE2AEC4"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封装事业部</w:t>
            </w:r>
          </w:p>
        </w:tc>
        <w:tc>
          <w:tcPr>
            <w:tcW w:w="2553" w:type="dxa"/>
            <w:shd w:val="clear" w:color="auto" w:fill="auto"/>
            <w:vAlign w:val="center"/>
          </w:tcPr>
          <w:p w14:paraId="76575963"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统筹协调，标准修改</w:t>
            </w:r>
          </w:p>
        </w:tc>
      </w:tr>
      <w:tr w:rsidR="00C1581F" w:rsidRPr="00C06F22" w14:paraId="4D80BB0D" w14:textId="77777777">
        <w:trPr>
          <w:trHeight w:val="378"/>
        </w:trPr>
        <w:tc>
          <w:tcPr>
            <w:tcW w:w="988" w:type="dxa"/>
            <w:shd w:val="clear" w:color="auto" w:fill="auto"/>
            <w:vAlign w:val="center"/>
          </w:tcPr>
          <w:p w14:paraId="602D512F" w14:textId="77777777" w:rsidR="00C1581F" w:rsidRPr="00C06F22" w:rsidRDefault="004C194B">
            <w:pPr>
              <w:widowControl/>
              <w:spacing w:line="360" w:lineRule="auto"/>
              <w:jc w:val="center"/>
              <w:rPr>
                <w:rFonts w:asciiTheme="minorEastAsia" w:eastAsiaTheme="minorEastAsia" w:hAnsiTheme="minorEastAsia" w:cs="宋体"/>
                <w:kern w:val="0"/>
                <w:sz w:val="24"/>
                <w:szCs w:val="24"/>
              </w:rPr>
            </w:pPr>
            <w:r w:rsidRPr="00C06F22">
              <w:rPr>
                <w:rFonts w:hint="eastAsia"/>
                <w:sz w:val="24"/>
                <w:szCs w:val="24"/>
              </w:rPr>
              <w:t>刘丰满</w:t>
            </w:r>
          </w:p>
        </w:tc>
        <w:tc>
          <w:tcPr>
            <w:tcW w:w="3246" w:type="dxa"/>
            <w:shd w:val="clear" w:color="auto" w:fill="auto"/>
            <w:vAlign w:val="center"/>
          </w:tcPr>
          <w:p w14:paraId="45905416" w14:textId="77777777" w:rsidR="00C1581F" w:rsidRPr="00C06F22" w:rsidRDefault="004C194B">
            <w:pPr>
              <w:widowControl/>
              <w:spacing w:line="360" w:lineRule="auto"/>
              <w:jc w:val="center"/>
              <w:rPr>
                <w:rFonts w:asciiTheme="minorEastAsia" w:eastAsiaTheme="minorEastAsia" w:hAnsiTheme="minorEastAsia"/>
                <w:sz w:val="24"/>
                <w:szCs w:val="24"/>
              </w:rPr>
            </w:pPr>
            <w:r w:rsidRPr="00C06F22">
              <w:rPr>
                <w:rFonts w:asciiTheme="minorEastAsia" w:eastAsiaTheme="minorEastAsia" w:hAnsiTheme="minorEastAsia" w:hint="eastAsia"/>
                <w:sz w:val="24"/>
                <w:szCs w:val="24"/>
              </w:rPr>
              <w:t>华进半导体封装先导技术研发中心有限公司</w:t>
            </w:r>
          </w:p>
        </w:tc>
        <w:tc>
          <w:tcPr>
            <w:tcW w:w="1430" w:type="dxa"/>
            <w:shd w:val="clear" w:color="auto" w:fill="auto"/>
            <w:vAlign w:val="center"/>
          </w:tcPr>
          <w:p w14:paraId="4CF6ABEE" w14:textId="77777777" w:rsidR="00C1581F" w:rsidRPr="00C06F22" w:rsidRDefault="004C194B">
            <w:pPr>
              <w:widowControl/>
              <w:spacing w:line="360" w:lineRule="auto"/>
              <w:jc w:val="center"/>
              <w:rPr>
                <w:rFonts w:asciiTheme="minorEastAsia" w:eastAsiaTheme="minorEastAsia" w:hAnsiTheme="minorEastAsia" w:cs="宋体"/>
                <w:kern w:val="0"/>
                <w:sz w:val="24"/>
                <w:szCs w:val="24"/>
              </w:rPr>
            </w:pPr>
            <w:bookmarkStart w:id="0" w:name="_GoBack"/>
            <w:bookmarkEnd w:id="0"/>
            <w:r w:rsidRPr="00C06F22">
              <w:rPr>
                <w:rFonts w:asciiTheme="minorEastAsia" w:eastAsiaTheme="minorEastAsia" w:hAnsiTheme="minorEastAsia" w:cs="宋体"/>
                <w:kern w:val="0"/>
                <w:sz w:val="24"/>
                <w:szCs w:val="24"/>
              </w:rPr>
              <w:t>研发部</w:t>
            </w:r>
          </w:p>
        </w:tc>
        <w:tc>
          <w:tcPr>
            <w:tcW w:w="2553" w:type="dxa"/>
            <w:shd w:val="clear" w:color="auto" w:fill="auto"/>
            <w:vAlign w:val="center"/>
          </w:tcPr>
          <w:p w14:paraId="2E2E9E6E" w14:textId="77777777" w:rsidR="00C1581F" w:rsidRPr="00C06F22" w:rsidRDefault="004C194B">
            <w:pPr>
              <w:widowControl/>
              <w:spacing w:line="360" w:lineRule="auto"/>
              <w:jc w:val="center"/>
              <w:rPr>
                <w:rFonts w:asciiTheme="minorEastAsia" w:eastAsiaTheme="minorEastAsia" w:hAnsiTheme="minorEastAsia" w:cs="宋体"/>
                <w:kern w:val="0"/>
                <w:sz w:val="24"/>
                <w:szCs w:val="24"/>
              </w:rPr>
            </w:pPr>
            <w:r w:rsidRPr="00C06F22">
              <w:rPr>
                <w:rFonts w:asciiTheme="minorEastAsia" w:eastAsiaTheme="minorEastAsia" w:hAnsiTheme="minorEastAsia" w:cs="宋体" w:hint="eastAsia"/>
                <w:kern w:val="0"/>
                <w:sz w:val="24"/>
                <w:szCs w:val="24"/>
              </w:rPr>
              <w:t>试验数据分析、标准文稿编写</w:t>
            </w:r>
          </w:p>
        </w:tc>
      </w:tr>
      <w:tr w:rsidR="00C1581F" w:rsidRPr="00C06F22" w14:paraId="05CBC0BB" w14:textId="77777777">
        <w:trPr>
          <w:trHeight w:val="378"/>
        </w:trPr>
        <w:tc>
          <w:tcPr>
            <w:tcW w:w="988" w:type="dxa"/>
            <w:shd w:val="clear" w:color="auto" w:fill="auto"/>
            <w:vAlign w:val="center"/>
          </w:tcPr>
          <w:p w14:paraId="5E94BA70"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proofErr w:type="gramStart"/>
            <w:r w:rsidRPr="00C06F22">
              <w:rPr>
                <w:rFonts w:asciiTheme="minorEastAsia" w:eastAsiaTheme="minorEastAsia" w:hAnsiTheme="minorEastAsia" w:cs="宋体" w:hint="eastAsia"/>
                <w:color w:val="000000"/>
                <w:kern w:val="0"/>
                <w:sz w:val="24"/>
                <w:szCs w:val="24"/>
              </w:rPr>
              <w:t>戴风伟</w:t>
            </w:r>
            <w:proofErr w:type="gramEnd"/>
          </w:p>
        </w:tc>
        <w:tc>
          <w:tcPr>
            <w:tcW w:w="3246" w:type="dxa"/>
            <w:shd w:val="clear" w:color="auto" w:fill="auto"/>
            <w:vAlign w:val="center"/>
          </w:tcPr>
          <w:p w14:paraId="0AC136EE"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hint="eastAsia"/>
                <w:sz w:val="24"/>
                <w:szCs w:val="24"/>
              </w:rPr>
              <w:t>华进半导体封装先导技术研发中心有限公司</w:t>
            </w:r>
          </w:p>
        </w:tc>
        <w:tc>
          <w:tcPr>
            <w:tcW w:w="1430" w:type="dxa"/>
            <w:shd w:val="clear" w:color="auto" w:fill="auto"/>
            <w:vAlign w:val="center"/>
          </w:tcPr>
          <w:p w14:paraId="3164EC94"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color w:val="000000"/>
                <w:kern w:val="0"/>
                <w:sz w:val="24"/>
                <w:szCs w:val="24"/>
              </w:rPr>
              <w:t>研发部</w:t>
            </w:r>
          </w:p>
        </w:tc>
        <w:tc>
          <w:tcPr>
            <w:tcW w:w="2553" w:type="dxa"/>
            <w:shd w:val="clear" w:color="auto" w:fill="auto"/>
            <w:vAlign w:val="center"/>
          </w:tcPr>
          <w:p w14:paraId="07D4B260"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标准格式标准化、编写组内联络</w:t>
            </w:r>
          </w:p>
        </w:tc>
      </w:tr>
      <w:tr w:rsidR="00C1581F" w:rsidRPr="00C06F22" w14:paraId="39F742CA" w14:textId="77777777">
        <w:trPr>
          <w:trHeight w:val="378"/>
        </w:trPr>
        <w:tc>
          <w:tcPr>
            <w:tcW w:w="988" w:type="dxa"/>
            <w:shd w:val="clear" w:color="auto" w:fill="auto"/>
            <w:vAlign w:val="center"/>
          </w:tcPr>
          <w:p w14:paraId="74AD6DB8"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严阳</w:t>
            </w:r>
            <w:proofErr w:type="gramStart"/>
            <w:r w:rsidRPr="00C06F22">
              <w:rPr>
                <w:rFonts w:asciiTheme="minorEastAsia" w:eastAsiaTheme="minorEastAsia" w:hAnsiTheme="minorEastAsia" w:cs="宋体" w:hint="eastAsia"/>
                <w:color w:val="000000"/>
                <w:kern w:val="0"/>
                <w:sz w:val="24"/>
                <w:szCs w:val="24"/>
              </w:rPr>
              <w:t>阳</w:t>
            </w:r>
            <w:proofErr w:type="gramEnd"/>
          </w:p>
        </w:tc>
        <w:tc>
          <w:tcPr>
            <w:tcW w:w="3246" w:type="dxa"/>
            <w:shd w:val="clear" w:color="auto" w:fill="auto"/>
            <w:vAlign w:val="center"/>
          </w:tcPr>
          <w:p w14:paraId="3C5716FE" w14:textId="77777777" w:rsidR="00C1581F" w:rsidRPr="00C06F22" w:rsidRDefault="004C194B">
            <w:pPr>
              <w:widowControl/>
              <w:spacing w:line="360" w:lineRule="auto"/>
              <w:jc w:val="center"/>
              <w:rPr>
                <w:rFonts w:asciiTheme="minorEastAsia" w:eastAsiaTheme="minorEastAsia" w:hAnsiTheme="minorEastAsia"/>
                <w:sz w:val="24"/>
                <w:szCs w:val="24"/>
              </w:rPr>
            </w:pPr>
            <w:r w:rsidRPr="00C06F22">
              <w:rPr>
                <w:rFonts w:asciiTheme="minorEastAsia" w:eastAsiaTheme="minorEastAsia" w:hAnsiTheme="minorEastAsia" w:hint="eastAsia"/>
                <w:sz w:val="24"/>
                <w:szCs w:val="24"/>
              </w:rPr>
              <w:t>华进半导体封装先导技术研发中心有限公司</w:t>
            </w:r>
          </w:p>
        </w:tc>
        <w:tc>
          <w:tcPr>
            <w:tcW w:w="1430" w:type="dxa"/>
            <w:shd w:val="clear" w:color="auto" w:fill="auto"/>
            <w:vAlign w:val="center"/>
          </w:tcPr>
          <w:p w14:paraId="7419DE85"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研发部</w:t>
            </w:r>
          </w:p>
        </w:tc>
        <w:tc>
          <w:tcPr>
            <w:tcW w:w="2553" w:type="dxa"/>
            <w:shd w:val="clear" w:color="auto" w:fill="auto"/>
            <w:vAlign w:val="center"/>
          </w:tcPr>
          <w:p w14:paraId="1F7A82C3" w14:textId="77777777" w:rsidR="00C1581F" w:rsidRPr="00C06F22" w:rsidRDefault="004C194B">
            <w:pPr>
              <w:widowControl/>
              <w:spacing w:line="360" w:lineRule="auto"/>
              <w:jc w:val="center"/>
              <w:rPr>
                <w:rFonts w:asciiTheme="minorEastAsia" w:eastAsiaTheme="minorEastAsia" w:hAnsiTheme="minorEastAsia" w:cs="宋体"/>
                <w:color w:val="000000"/>
                <w:kern w:val="0"/>
                <w:sz w:val="24"/>
                <w:szCs w:val="24"/>
              </w:rPr>
            </w:pPr>
            <w:r w:rsidRPr="00C06F22">
              <w:rPr>
                <w:rFonts w:asciiTheme="minorEastAsia" w:eastAsiaTheme="minorEastAsia" w:hAnsiTheme="minorEastAsia" w:cs="宋体" w:hint="eastAsia"/>
                <w:color w:val="000000"/>
                <w:kern w:val="0"/>
                <w:sz w:val="24"/>
                <w:szCs w:val="24"/>
              </w:rPr>
              <w:t>试验数据分析、标准文稿编写</w:t>
            </w:r>
          </w:p>
        </w:tc>
      </w:tr>
      <w:tr w:rsidR="00C1581F" w:rsidRPr="00C06F22" w14:paraId="1B273A71" w14:textId="77777777">
        <w:trPr>
          <w:trHeight w:val="378"/>
        </w:trPr>
        <w:tc>
          <w:tcPr>
            <w:tcW w:w="988" w:type="dxa"/>
            <w:shd w:val="clear" w:color="auto" w:fill="auto"/>
            <w:vAlign w:val="center"/>
          </w:tcPr>
          <w:p w14:paraId="5DCA11F4" w14:textId="77777777" w:rsidR="00C1581F" w:rsidRPr="00C06F22" w:rsidRDefault="004C194B">
            <w:pPr>
              <w:widowControl/>
              <w:spacing w:line="360" w:lineRule="auto"/>
              <w:jc w:val="center"/>
              <w:rPr>
                <w:rFonts w:asciiTheme="minorEastAsia" w:eastAsiaTheme="minorEastAsia" w:hAnsiTheme="minorEastAsia" w:cs="宋体"/>
                <w:kern w:val="0"/>
                <w:sz w:val="24"/>
                <w:szCs w:val="24"/>
              </w:rPr>
            </w:pPr>
            <w:r w:rsidRPr="00C06F22">
              <w:rPr>
                <w:rFonts w:hint="eastAsia"/>
                <w:sz w:val="24"/>
                <w:szCs w:val="24"/>
              </w:rPr>
              <w:t>何慧敏</w:t>
            </w:r>
          </w:p>
        </w:tc>
        <w:tc>
          <w:tcPr>
            <w:tcW w:w="3246" w:type="dxa"/>
            <w:shd w:val="clear" w:color="auto" w:fill="auto"/>
            <w:vAlign w:val="center"/>
          </w:tcPr>
          <w:p w14:paraId="2C1F9DED" w14:textId="77777777" w:rsidR="00C1581F" w:rsidRPr="00C06F22" w:rsidRDefault="004C194B">
            <w:pPr>
              <w:widowControl/>
              <w:spacing w:line="360" w:lineRule="auto"/>
              <w:jc w:val="center"/>
              <w:rPr>
                <w:rFonts w:asciiTheme="minorEastAsia" w:eastAsiaTheme="minorEastAsia" w:hAnsiTheme="minorEastAsia"/>
                <w:sz w:val="24"/>
                <w:szCs w:val="24"/>
              </w:rPr>
            </w:pPr>
            <w:r w:rsidRPr="00C06F22">
              <w:rPr>
                <w:rFonts w:asciiTheme="minorEastAsia" w:eastAsiaTheme="minorEastAsia" w:hAnsiTheme="minorEastAsia" w:hint="eastAsia"/>
                <w:sz w:val="24"/>
                <w:szCs w:val="24"/>
              </w:rPr>
              <w:t>中科院微电子研究所</w:t>
            </w:r>
          </w:p>
        </w:tc>
        <w:tc>
          <w:tcPr>
            <w:tcW w:w="1430" w:type="dxa"/>
            <w:shd w:val="clear" w:color="auto" w:fill="auto"/>
            <w:vAlign w:val="center"/>
          </w:tcPr>
          <w:p w14:paraId="53FA503C" w14:textId="77777777" w:rsidR="00C1581F" w:rsidRPr="00C06F22" w:rsidRDefault="004C194B">
            <w:pPr>
              <w:widowControl/>
              <w:spacing w:line="360" w:lineRule="auto"/>
              <w:jc w:val="center"/>
              <w:rPr>
                <w:rFonts w:asciiTheme="minorEastAsia" w:eastAsiaTheme="minorEastAsia" w:hAnsiTheme="minorEastAsia" w:cs="宋体"/>
                <w:kern w:val="0"/>
                <w:sz w:val="24"/>
                <w:szCs w:val="24"/>
              </w:rPr>
            </w:pPr>
            <w:r w:rsidRPr="00C06F22">
              <w:rPr>
                <w:rFonts w:asciiTheme="minorEastAsia" w:eastAsiaTheme="minorEastAsia" w:hAnsiTheme="minorEastAsia" w:cs="宋体" w:hint="eastAsia"/>
                <w:kern w:val="0"/>
                <w:sz w:val="24"/>
                <w:szCs w:val="24"/>
              </w:rPr>
              <w:t>封装中心</w:t>
            </w:r>
          </w:p>
        </w:tc>
        <w:tc>
          <w:tcPr>
            <w:tcW w:w="2553" w:type="dxa"/>
            <w:shd w:val="clear" w:color="auto" w:fill="auto"/>
            <w:vAlign w:val="center"/>
          </w:tcPr>
          <w:p w14:paraId="44E4DE0C" w14:textId="77777777" w:rsidR="00C1581F" w:rsidRPr="00C06F22" w:rsidRDefault="004C194B">
            <w:pPr>
              <w:widowControl/>
              <w:spacing w:line="360" w:lineRule="auto"/>
              <w:jc w:val="center"/>
              <w:rPr>
                <w:rFonts w:asciiTheme="minorEastAsia" w:eastAsiaTheme="minorEastAsia" w:hAnsiTheme="minorEastAsia" w:cs="宋体"/>
                <w:kern w:val="0"/>
                <w:sz w:val="24"/>
                <w:szCs w:val="24"/>
              </w:rPr>
            </w:pPr>
            <w:r w:rsidRPr="00C06F22">
              <w:rPr>
                <w:rFonts w:asciiTheme="minorEastAsia" w:eastAsiaTheme="minorEastAsia" w:hAnsiTheme="minorEastAsia" w:cs="宋体" w:hint="eastAsia"/>
                <w:kern w:val="0"/>
                <w:sz w:val="24"/>
                <w:szCs w:val="24"/>
              </w:rPr>
              <w:t>试验数据分析、标准文稿编写</w:t>
            </w:r>
          </w:p>
        </w:tc>
      </w:tr>
      <w:tr w:rsidR="00C1581F" w:rsidRPr="00C06F22" w14:paraId="13B3E344" w14:textId="77777777">
        <w:trPr>
          <w:trHeight w:val="378"/>
        </w:trPr>
        <w:tc>
          <w:tcPr>
            <w:tcW w:w="988" w:type="dxa"/>
            <w:shd w:val="clear" w:color="auto" w:fill="auto"/>
            <w:vAlign w:val="center"/>
          </w:tcPr>
          <w:p w14:paraId="4AF9D0D9" w14:textId="77777777" w:rsidR="00C1581F" w:rsidRPr="00C06F22" w:rsidRDefault="004C194B">
            <w:pPr>
              <w:widowControl/>
              <w:spacing w:line="360" w:lineRule="auto"/>
              <w:jc w:val="center"/>
              <w:rPr>
                <w:color w:val="FF0000"/>
                <w:sz w:val="24"/>
                <w:szCs w:val="24"/>
              </w:rPr>
            </w:pPr>
            <w:r w:rsidRPr="00C06F22">
              <w:rPr>
                <w:rFonts w:asciiTheme="minorEastAsia" w:eastAsiaTheme="minorEastAsia" w:hAnsiTheme="minorEastAsia" w:cs="宋体" w:hint="eastAsia"/>
                <w:color w:val="000000"/>
                <w:kern w:val="0"/>
                <w:sz w:val="24"/>
                <w:szCs w:val="24"/>
              </w:rPr>
              <w:lastRenderedPageBreak/>
              <w:t>代云</w:t>
            </w:r>
          </w:p>
        </w:tc>
        <w:tc>
          <w:tcPr>
            <w:tcW w:w="3246" w:type="dxa"/>
            <w:shd w:val="clear" w:color="auto" w:fill="auto"/>
            <w:vAlign w:val="center"/>
          </w:tcPr>
          <w:p w14:paraId="6CCDFFD4" w14:textId="77777777" w:rsidR="00C1581F" w:rsidRPr="00C06F22" w:rsidRDefault="004C194B">
            <w:pPr>
              <w:widowControl/>
              <w:spacing w:line="360" w:lineRule="auto"/>
              <w:jc w:val="center"/>
              <w:rPr>
                <w:rStyle w:val="fontstyle01"/>
                <w:rFonts w:hint="default"/>
                <w:color w:val="FF0000"/>
                <w:sz w:val="24"/>
                <w:szCs w:val="24"/>
              </w:rPr>
            </w:pPr>
            <w:r w:rsidRPr="00C06F22">
              <w:rPr>
                <w:rFonts w:asciiTheme="minorEastAsia" w:eastAsiaTheme="minorEastAsia" w:hAnsiTheme="minorEastAsia" w:hint="eastAsia"/>
                <w:sz w:val="24"/>
                <w:szCs w:val="24"/>
              </w:rPr>
              <w:t>华进半导体封装先导技术研发中心有限公司</w:t>
            </w:r>
          </w:p>
        </w:tc>
        <w:tc>
          <w:tcPr>
            <w:tcW w:w="1430" w:type="dxa"/>
            <w:shd w:val="clear" w:color="auto" w:fill="auto"/>
            <w:vAlign w:val="center"/>
          </w:tcPr>
          <w:p w14:paraId="35DC508B" w14:textId="77777777" w:rsidR="00C1581F" w:rsidRPr="00C06F22" w:rsidRDefault="004C194B">
            <w:pPr>
              <w:widowControl/>
              <w:spacing w:line="360" w:lineRule="auto"/>
              <w:jc w:val="center"/>
              <w:rPr>
                <w:rFonts w:asciiTheme="minorEastAsia" w:eastAsiaTheme="minorEastAsia" w:hAnsiTheme="minorEastAsia" w:cs="宋体"/>
                <w:color w:val="FF0000"/>
                <w:kern w:val="0"/>
                <w:sz w:val="24"/>
                <w:szCs w:val="24"/>
              </w:rPr>
            </w:pPr>
            <w:r w:rsidRPr="00C06F22">
              <w:rPr>
                <w:rFonts w:asciiTheme="minorEastAsia" w:eastAsiaTheme="minorEastAsia" w:hAnsiTheme="minorEastAsia" w:cs="宋体" w:hint="eastAsia"/>
                <w:color w:val="000000"/>
                <w:kern w:val="0"/>
                <w:sz w:val="24"/>
                <w:szCs w:val="24"/>
              </w:rPr>
              <w:t>质量部</w:t>
            </w:r>
          </w:p>
        </w:tc>
        <w:tc>
          <w:tcPr>
            <w:tcW w:w="2553" w:type="dxa"/>
            <w:shd w:val="clear" w:color="auto" w:fill="auto"/>
            <w:vAlign w:val="center"/>
          </w:tcPr>
          <w:p w14:paraId="600AA6F5" w14:textId="0799B9A9" w:rsidR="00C1581F" w:rsidRPr="00C06F22" w:rsidRDefault="004C194B" w:rsidP="00367943">
            <w:pPr>
              <w:widowControl/>
              <w:spacing w:line="360" w:lineRule="auto"/>
              <w:jc w:val="center"/>
              <w:rPr>
                <w:rFonts w:asciiTheme="minorEastAsia" w:eastAsiaTheme="minorEastAsia" w:hAnsiTheme="minorEastAsia" w:cs="宋体"/>
                <w:color w:val="FF0000"/>
                <w:kern w:val="0"/>
                <w:sz w:val="24"/>
                <w:szCs w:val="24"/>
              </w:rPr>
            </w:pPr>
            <w:r w:rsidRPr="00C06F22">
              <w:rPr>
                <w:rFonts w:asciiTheme="minorEastAsia" w:eastAsiaTheme="minorEastAsia" w:hAnsiTheme="minorEastAsia" w:cs="宋体" w:hint="eastAsia"/>
                <w:color w:val="000000"/>
                <w:kern w:val="0"/>
                <w:sz w:val="24"/>
                <w:szCs w:val="24"/>
              </w:rPr>
              <w:t>标准格式标准化、</w:t>
            </w:r>
            <w:r w:rsidR="00367943" w:rsidRPr="00C06F22">
              <w:rPr>
                <w:rFonts w:asciiTheme="minorEastAsia" w:eastAsiaTheme="minorEastAsia" w:hAnsiTheme="minorEastAsia" w:cs="宋体" w:hint="eastAsia"/>
                <w:color w:val="000000"/>
                <w:kern w:val="0"/>
                <w:sz w:val="24"/>
                <w:szCs w:val="24"/>
              </w:rPr>
              <w:t>内外单位联络</w:t>
            </w:r>
          </w:p>
        </w:tc>
      </w:tr>
      <w:tr w:rsidR="00C1581F" w:rsidRPr="00C06F22" w14:paraId="30EC2E53" w14:textId="77777777">
        <w:trPr>
          <w:trHeight w:val="378"/>
        </w:trPr>
        <w:tc>
          <w:tcPr>
            <w:tcW w:w="988" w:type="dxa"/>
            <w:shd w:val="clear" w:color="auto" w:fill="auto"/>
            <w:vAlign w:val="center"/>
          </w:tcPr>
          <w:p w14:paraId="77226E82" w14:textId="77777777" w:rsidR="00C1581F" w:rsidRPr="00C06F22" w:rsidRDefault="004C194B">
            <w:pPr>
              <w:widowControl/>
              <w:spacing w:line="360" w:lineRule="auto"/>
              <w:jc w:val="center"/>
              <w:rPr>
                <w:sz w:val="24"/>
                <w:szCs w:val="24"/>
              </w:rPr>
            </w:pPr>
            <w:proofErr w:type="gramStart"/>
            <w:r w:rsidRPr="00C06F22">
              <w:rPr>
                <w:rFonts w:hint="eastAsia"/>
                <w:sz w:val="24"/>
                <w:szCs w:val="24"/>
              </w:rPr>
              <w:t>张琼月</w:t>
            </w:r>
            <w:proofErr w:type="gramEnd"/>
          </w:p>
        </w:tc>
        <w:tc>
          <w:tcPr>
            <w:tcW w:w="3246" w:type="dxa"/>
            <w:shd w:val="clear" w:color="auto" w:fill="auto"/>
            <w:vAlign w:val="center"/>
          </w:tcPr>
          <w:p w14:paraId="7EF66403" w14:textId="77777777" w:rsidR="00C1581F" w:rsidRPr="00C06F22" w:rsidRDefault="004C194B">
            <w:pPr>
              <w:widowControl/>
              <w:spacing w:line="360" w:lineRule="auto"/>
              <w:jc w:val="center"/>
              <w:rPr>
                <w:sz w:val="24"/>
                <w:szCs w:val="24"/>
              </w:rPr>
            </w:pPr>
            <w:r w:rsidRPr="00C06F22">
              <w:rPr>
                <w:rStyle w:val="fontstyle01"/>
                <w:rFonts w:hint="default"/>
                <w:color w:val="auto"/>
                <w:sz w:val="24"/>
                <w:szCs w:val="24"/>
              </w:rPr>
              <w:t>国家集成电路封</w:t>
            </w:r>
            <w:proofErr w:type="gramStart"/>
            <w:r w:rsidRPr="00C06F22">
              <w:rPr>
                <w:rStyle w:val="fontstyle01"/>
                <w:rFonts w:hint="default"/>
                <w:color w:val="auto"/>
                <w:sz w:val="24"/>
                <w:szCs w:val="24"/>
              </w:rPr>
              <w:t>测产业链技术</w:t>
            </w:r>
            <w:proofErr w:type="gramEnd"/>
            <w:r w:rsidRPr="00C06F22">
              <w:rPr>
                <w:rStyle w:val="fontstyle01"/>
                <w:rFonts w:hint="default"/>
                <w:color w:val="auto"/>
                <w:sz w:val="24"/>
                <w:szCs w:val="24"/>
              </w:rPr>
              <w:t>创新战略联盟</w:t>
            </w:r>
          </w:p>
        </w:tc>
        <w:tc>
          <w:tcPr>
            <w:tcW w:w="1430" w:type="dxa"/>
            <w:shd w:val="clear" w:color="auto" w:fill="auto"/>
            <w:vAlign w:val="center"/>
          </w:tcPr>
          <w:p w14:paraId="4D67D1C8" w14:textId="77777777" w:rsidR="00C1581F" w:rsidRPr="00C06F22" w:rsidRDefault="004C194B">
            <w:pPr>
              <w:widowControl/>
              <w:spacing w:line="360" w:lineRule="auto"/>
              <w:jc w:val="center"/>
              <w:rPr>
                <w:rFonts w:asciiTheme="minorEastAsia" w:eastAsiaTheme="minorEastAsia" w:hAnsiTheme="minorEastAsia" w:cs="宋体"/>
                <w:kern w:val="0"/>
                <w:sz w:val="24"/>
                <w:szCs w:val="24"/>
              </w:rPr>
            </w:pPr>
            <w:r w:rsidRPr="00C06F22">
              <w:rPr>
                <w:rFonts w:asciiTheme="minorEastAsia" w:eastAsiaTheme="minorEastAsia" w:hAnsiTheme="minorEastAsia" w:cs="宋体" w:hint="eastAsia"/>
                <w:kern w:val="0"/>
                <w:sz w:val="24"/>
                <w:szCs w:val="24"/>
              </w:rPr>
              <w:t>技术服务部</w:t>
            </w:r>
          </w:p>
        </w:tc>
        <w:tc>
          <w:tcPr>
            <w:tcW w:w="2553" w:type="dxa"/>
            <w:shd w:val="clear" w:color="auto" w:fill="auto"/>
            <w:vAlign w:val="center"/>
          </w:tcPr>
          <w:p w14:paraId="22E7C7E4" w14:textId="77777777" w:rsidR="00C1581F" w:rsidRPr="00C06F22" w:rsidRDefault="004C194B">
            <w:pPr>
              <w:widowControl/>
              <w:spacing w:line="360" w:lineRule="auto"/>
              <w:jc w:val="center"/>
              <w:rPr>
                <w:rFonts w:asciiTheme="minorEastAsia" w:eastAsiaTheme="minorEastAsia" w:hAnsiTheme="minorEastAsia" w:cs="宋体"/>
                <w:kern w:val="0"/>
                <w:sz w:val="24"/>
                <w:szCs w:val="24"/>
              </w:rPr>
            </w:pPr>
            <w:r w:rsidRPr="00C06F22">
              <w:rPr>
                <w:rFonts w:asciiTheme="minorEastAsia" w:eastAsiaTheme="minorEastAsia" w:hAnsiTheme="minorEastAsia" w:cs="宋体" w:hint="eastAsia"/>
                <w:kern w:val="0"/>
                <w:sz w:val="24"/>
                <w:szCs w:val="24"/>
              </w:rPr>
              <w:t>试验数据分析、标准文稿编写</w:t>
            </w:r>
          </w:p>
        </w:tc>
      </w:tr>
    </w:tbl>
    <w:p w14:paraId="2866BB4A" w14:textId="77777777" w:rsidR="00C1581F" w:rsidRPr="000A3C22" w:rsidRDefault="004C194B">
      <w:pPr>
        <w:spacing w:line="360" w:lineRule="auto"/>
        <w:ind w:firstLineChars="200" w:firstLine="472"/>
        <w:jc w:val="left"/>
        <w:rPr>
          <w:rFonts w:asciiTheme="minorEastAsia" w:eastAsiaTheme="minorEastAsia" w:hAnsiTheme="minorEastAsia"/>
          <w:spacing w:val="-2"/>
          <w:kern w:val="0"/>
          <w:sz w:val="24"/>
          <w:szCs w:val="24"/>
        </w:rPr>
      </w:pPr>
      <w:r w:rsidRPr="000A3C22">
        <w:rPr>
          <w:rFonts w:asciiTheme="minorEastAsia" w:eastAsiaTheme="minorEastAsia" w:hAnsiTheme="minorEastAsia" w:hint="eastAsia"/>
          <w:spacing w:val="-2"/>
          <w:kern w:val="0"/>
          <w:sz w:val="24"/>
          <w:szCs w:val="24"/>
        </w:rPr>
        <w:t>起草人分别负责标准技术资料查询、收集及对比，测试样件加工、检测方法的验证比对，样品检测及数据整理，标准文本及编制说明的起草、撰写，行业内征求意见，组织标准的初审讨论会及标准报送等。</w:t>
      </w:r>
    </w:p>
    <w:p w14:paraId="082BC487" w14:textId="77777777" w:rsidR="00C1581F" w:rsidRPr="000A3C22" w:rsidRDefault="004C194B">
      <w:pPr>
        <w:pStyle w:val="affa"/>
        <w:numPr>
          <w:ilvl w:val="0"/>
          <w:numId w:val="12"/>
        </w:numPr>
        <w:spacing w:line="360" w:lineRule="auto"/>
        <w:ind w:firstLineChars="0"/>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简要起草过程</w:t>
      </w:r>
    </w:p>
    <w:p w14:paraId="121F1CD4" w14:textId="77777777" w:rsidR="00C1581F" w:rsidRPr="000A3C22" w:rsidRDefault="00C1581F">
      <w:pPr>
        <w:pStyle w:val="affa"/>
        <w:numPr>
          <w:ilvl w:val="0"/>
          <w:numId w:val="13"/>
        </w:numPr>
        <w:autoSpaceDE w:val="0"/>
        <w:autoSpaceDN w:val="0"/>
        <w:adjustRightInd w:val="0"/>
        <w:spacing w:line="360" w:lineRule="auto"/>
        <w:ind w:firstLineChars="0"/>
        <w:rPr>
          <w:rFonts w:asciiTheme="minorEastAsia" w:eastAsiaTheme="minorEastAsia" w:hAnsiTheme="minorEastAsia"/>
          <w:vanish/>
          <w:sz w:val="24"/>
          <w:szCs w:val="24"/>
        </w:rPr>
      </w:pPr>
    </w:p>
    <w:p w14:paraId="4EA1A3D1" w14:textId="77777777" w:rsidR="00C1581F" w:rsidRPr="000A3C22" w:rsidRDefault="00C1581F">
      <w:pPr>
        <w:pStyle w:val="affa"/>
        <w:numPr>
          <w:ilvl w:val="0"/>
          <w:numId w:val="13"/>
        </w:numPr>
        <w:autoSpaceDE w:val="0"/>
        <w:autoSpaceDN w:val="0"/>
        <w:adjustRightInd w:val="0"/>
        <w:spacing w:line="360" w:lineRule="auto"/>
        <w:ind w:firstLineChars="0"/>
        <w:rPr>
          <w:rFonts w:asciiTheme="minorEastAsia" w:eastAsiaTheme="minorEastAsia" w:hAnsiTheme="minorEastAsia"/>
          <w:vanish/>
          <w:sz w:val="24"/>
          <w:szCs w:val="24"/>
        </w:rPr>
      </w:pPr>
    </w:p>
    <w:p w14:paraId="2A16689C" w14:textId="77777777" w:rsidR="00C1581F" w:rsidRPr="000A3C22" w:rsidRDefault="004C194B">
      <w:pPr>
        <w:pStyle w:val="affa"/>
        <w:numPr>
          <w:ilvl w:val="1"/>
          <w:numId w:val="13"/>
        </w:numPr>
        <w:autoSpaceDE w:val="0"/>
        <w:autoSpaceDN w:val="0"/>
        <w:adjustRightInd w:val="0"/>
        <w:spacing w:line="360" w:lineRule="auto"/>
        <w:ind w:firstLineChars="0"/>
        <w:rPr>
          <w:rFonts w:asciiTheme="minorEastAsia" w:eastAsiaTheme="minorEastAsia" w:hAnsiTheme="minorEastAsia"/>
          <w:sz w:val="24"/>
          <w:szCs w:val="24"/>
        </w:rPr>
      </w:pPr>
      <w:proofErr w:type="gramStart"/>
      <w:r w:rsidRPr="000A3C22">
        <w:rPr>
          <w:rFonts w:asciiTheme="minorEastAsia" w:eastAsiaTheme="minorEastAsia" w:hAnsiTheme="minorEastAsia"/>
          <w:sz w:val="24"/>
          <w:szCs w:val="24"/>
        </w:rPr>
        <w:t>成立团标</w:t>
      </w:r>
      <w:proofErr w:type="gramEnd"/>
      <w:r w:rsidRPr="000A3C22">
        <w:rPr>
          <w:rFonts w:asciiTheme="minorEastAsia" w:eastAsiaTheme="minorEastAsia" w:hAnsiTheme="minorEastAsia"/>
          <w:sz w:val="24"/>
          <w:szCs w:val="24"/>
        </w:rPr>
        <w:t>编制组</w:t>
      </w:r>
    </w:p>
    <w:p w14:paraId="38B800CA" w14:textId="01654798" w:rsidR="00C1581F" w:rsidRPr="000A3C22" w:rsidRDefault="004C194B">
      <w:pPr>
        <w:pStyle w:val="affa"/>
        <w:autoSpaceDE w:val="0"/>
        <w:autoSpaceDN w:val="0"/>
        <w:adjustRightInd w:val="0"/>
        <w:spacing w:line="360" w:lineRule="auto"/>
        <w:ind w:firstLine="480"/>
        <w:rPr>
          <w:rFonts w:asciiTheme="minorEastAsia" w:eastAsiaTheme="minorEastAsia" w:hAnsiTheme="minorEastAsia"/>
          <w:sz w:val="24"/>
          <w:szCs w:val="24"/>
        </w:rPr>
      </w:pPr>
      <w:r w:rsidRPr="000A3C22">
        <w:rPr>
          <w:rFonts w:asciiTheme="minorEastAsia" w:eastAsiaTheme="minorEastAsia" w:hAnsiTheme="minorEastAsia" w:hint="eastAsia"/>
          <w:sz w:val="24"/>
          <w:szCs w:val="24"/>
        </w:rPr>
        <w:t>江苏省半导体行业协会对制定《硅通孔(TSV)电镀质量无损检测方法—X射线计算机断层扫描(X-Ray CT)技术规范》团体标准的具体工作进行了认真研究，确定了总体工作方案，于</w:t>
      </w:r>
      <w:r w:rsidRPr="000A3C22">
        <w:rPr>
          <w:rFonts w:asciiTheme="minorEastAsia" w:eastAsiaTheme="minorEastAsia" w:hAnsiTheme="minorEastAsia"/>
          <w:sz w:val="24"/>
          <w:szCs w:val="24"/>
        </w:rPr>
        <w:t>2025</w:t>
      </w:r>
      <w:r w:rsidRPr="000A3C22">
        <w:rPr>
          <w:rFonts w:asciiTheme="minorEastAsia" w:eastAsiaTheme="minorEastAsia" w:hAnsiTheme="minorEastAsia" w:hint="eastAsia"/>
          <w:sz w:val="24"/>
          <w:szCs w:val="24"/>
        </w:rPr>
        <w:t>年</w:t>
      </w:r>
      <w:r w:rsidR="00367943">
        <w:rPr>
          <w:rFonts w:asciiTheme="minorEastAsia" w:eastAsiaTheme="minorEastAsia" w:hAnsiTheme="minorEastAsia"/>
          <w:sz w:val="24"/>
          <w:szCs w:val="24"/>
        </w:rPr>
        <w:t>6</w:t>
      </w:r>
      <w:r w:rsidRPr="000A3C22">
        <w:rPr>
          <w:rFonts w:asciiTheme="minorEastAsia" w:eastAsiaTheme="minorEastAsia" w:hAnsiTheme="minorEastAsia" w:hint="eastAsia"/>
          <w:sz w:val="24"/>
          <w:szCs w:val="24"/>
        </w:rPr>
        <w:t>月</w:t>
      </w:r>
      <w:r w:rsidR="00367943">
        <w:rPr>
          <w:rFonts w:asciiTheme="minorEastAsia" w:eastAsiaTheme="minorEastAsia" w:hAnsiTheme="minorEastAsia"/>
          <w:sz w:val="24"/>
          <w:szCs w:val="24"/>
        </w:rPr>
        <w:t>20</w:t>
      </w:r>
      <w:r w:rsidRPr="000A3C22">
        <w:rPr>
          <w:rFonts w:asciiTheme="minorEastAsia" w:eastAsiaTheme="minorEastAsia" w:hAnsiTheme="minorEastAsia" w:hint="eastAsia"/>
          <w:sz w:val="24"/>
          <w:szCs w:val="24"/>
        </w:rPr>
        <w:t>日组建工作组，召开启动会议，组建了由华进半导体封装先导技术研发中心有限公司、中国科学院微电子研究所、国家集成电路封</w:t>
      </w:r>
      <w:proofErr w:type="gramStart"/>
      <w:r w:rsidRPr="000A3C22">
        <w:rPr>
          <w:rFonts w:asciiTheme="minorEastAsia" w:eastAsiaTheme="minorEastAsia" w:hAnsiTheme="minorEastAsia" w:hint="eastAsia"/>
          <w:sz w:val="24"/>
          <w:szCs w:val="24"/>
        </w:rPr>
        <w:t>测产业链技术</w:t>
      </w:r>
      <w:proofErr w:type="gramEnd"/>
      <w:r w:rsidRPr="000A3C22">
        <w:rPr>
          <w:rFonts w:asciiTheme="minorEastAsia" w:eastAsiaTheme="minorEastAsia" w:hAnsiTheme="minorEastAsia" w:hint="eastAsia"/>
          <w:sz w:val="24"/>
          <w:szCs w:val="24"/>
        </w:rPr>
        <w:t>创新战略联盟等组成的团体标准起草工作小组。</w:t>
      </w:r>
    </w:p>
    <w:p w14:paraId="0603103D" w14:textId="77777777" w:rsidR="00C1581F" w:rsidRPr="000A3C22" w:rsidRDefault="004C194B">
      <w:pPr>
        <w:pStyle w:val="affa"/>
        <w:numPr>
          <w:ilvl w:val="1"/>
          <w:numId w:val="13"/>
        </w:numPr>
        <w:autoSpaceDE w:val="0"/>
        <w:autoSpaceDN w:val="0"/>
        <w:adjustRightInd w:val="0"/>
        <w:spacing w:line="360" w:lineRule="auto"/>
        <w:ind w:firstLineChars="0"/>
        <w:rPr>
          <w:rFonts w:asciiTheme="minorEastAsia" w:eastAsiaTheme="minorEastAsia" w:hAnsiTheme="minorEastAsia"/>
          <w:sz w:val="24"/>
          <w:szCs w:val="24"/>
        </w:rPr>
      </w:pPr>
      <w:r w:rsidRPr="000A3C22">
        <w:rPr>
          <w:rFonts w:asciiTheme="minorEastAsia" w:eastAsiaTheme="minorEastAsia" w:hAnsiTheme="minorEastAsia"/>
          <w:sz w:val="24"/>
          <w:szCs w:val="24"/>
        </w:rPr>
        <w:t>起草</w:t>
      </w:r>
    </w:p>
    <w:p w14:paraId="3E92B93F" w14:textId="22BE02CC" w:rsidR="00C1581F" w:rsidRDefault="004C194B">
      <w:pPr>
        <w:autoSpaceDE w:val="0"/>
        <w:autoSpaceDN w:val="0"/>
        <w:adjustRightInd w:val="0"/>
        <w:spacing w:line="360" w:lineRule="auto"/>
        <w:ind w:firstLineChars="300" w:firstLine="708"/>
        <w:rPr>
          <w:rFonts w:asciiTheme="minorEastAsia" w:eastAsiaTheme="minorEastAsia" w:hAnsiTheme="minorEastAsia"/>
          <w:sz w:val="24"/>
          <w:szCs w:val="24"/>
        </w:rPr>
      </w:pPr>
      <w:r w:rsidRPr="000A3C22">
        <w:rPr>
          <w:rFonts w:asciiTheme="minorEastAsia" w:eastAsiaTheme="minorEastAsia" w:hAnsiTheme="minorEastAsia" w:hint="eastAsia"/>
          <w:color w:val="000000"/>
          <w:spacing w:val="-2"/>
          <w:kern w:val="0"/>
          <w:sz w:val="24"/>
          <w:szCs w:val="24"/>
        </w:rPr>
        <w:t>起草小组针对本标准的制定，在行业内进行了前期调研，查看了现有国家标准</w:t>
      </w:r>
      <w:r w:rsidRPr="000A3C22">
        <w:rPr>
          <w:rFonts w:asciiTheme="minorEastAsia" w:eastAsiaTheme="minorEastAsia" w:hAnsiTheme="minorEastAsia" w:hint="eastAsia"/>
          <w:sz w:val="24"/>
          <w:szCs w:val="24"/>
        </w:rPr>
        <w:t>《</w:t>
      </w:r>
      <w:r w:rsidRPr="000A3C22">
        <w:rPr>
          <w:rFonts w:asciiTheme="minorEastAsia" w:eastAsiaTheme="minorEastAsia" w:hAnsiTheme="minorEastAsia" w:hint="eastAsia"/>
          <w:color w:val="000000"/>
          <w:spacing w:val="-2"/>
          <w:kern w:val="0"/>
          <w:sz w:val="24"/>
          <w:szCs w:val="24"/>
        </w:rPr>
        <w:t>GB/T 43536.1-2023 三维集成电路 第1部分：术语和定义—硅通孔(TSV)</w:t>
      </w:r>
      <w:r w:rsidRPr="000A3C22">
        <w:rPr>
          <w:rFonts w:asciiTheme="minorEastAsia" w:eastAsiaTheme="minorEastAsia" w:hAnsiTheme="minorEastAsia" w:cs="宋体" w:hint="eastAsia"/>
          <w:sz w:val="24"/>
          <w:szCs w:val="24"/>
        </w:rPr>
        <w:t>》、《</w:t>
      </w:r>
      <w:r w:rsidRPr="000A3C22">
        <w:rPr>
          <w:rFonts w:asciiTheme="minorEastAsia" w:eastAsiaTheme="minorEastAsia" w:hAnsiTheme="minorEastAsia" w:hint="eastAsia"/>
          <w:color w:val="000000"/>
          <w:spacing w:val="-2"/>
          <w:kern w:val="0"/>
          <w:sz w:val="24"/>
          <w:szCs w:val="24"/>
        </w:rPr>
        <w:t>GBZ 117-2022 工业探伤放射防护标准—工业CT无损检测</w:t>
      </w:r>
      <w:r w:rsidRPr="000A3C22">
        <w:rPr>
          <w:rFonts w:asciiTheme="minorEastAsia" w:eastAsiaTheme="minorEastAsia" w:hAnsiTheme="minorEastAsia" w:cs="宋体" w:hint="eastAsia"/>
          <w:sz w:val="24"/>
          <w:szCs w:val="24"/>
        </w:rPr>
        <w:t>》、《GB/T 12604.2-2020 无损检测术语—射线检测—空间分辨率》、《GB/T 3138-1982 电镀常用名词术语》、《GB/T 5935-1986 镀层孔隙率测试—填充致密度评估》、《GB/T 4955-1985 金属覆盖层厚度测量—阳极溶解库伦方法》以及《SEMI MF2912-2023 Guide For X-Ray Computed Tomography in Electronics》、《ISO 15708-2017 无损检测—辐射方法—计算机断层扫描》</w:t>
      </w:r>
      <w:r w:rsidRPr="000A3C22">
        <w:rPr>
          <w:rFonts w:asciiTheme="minorEastAsia" w:eastAsiaTheme="minorEastAsia" w:hAnsiTheme="minorEastAsia" w:hint="eastAsia"/>
          <w:color w:val="000000"/>
          <w:spacing w:val="-2"/>
          <w:kern w:val="0"/>
          <w:sz w:val="24"/>
          <w:szCs w:val="24"/>
        </w:rPr>
        <w:t>等相关多项国外标准,对利用计算机断层扫描方法实现硅通孔电镀质量无损检测的方法进行了梳理，并</w:t>
      </w:r>
      <w:r w:rsidRPr="000A3C22">
        <w:rPr>
          <w:rFonts w:asciiTheme="minorEastAsia" w:eastAsiaTheme="minorEastAsia" w:hAnsiTheme="minorEastAsia" w:hint="eastAsia"/>
          <w:sz w:val="24"/>
          <w:szCs w:val="24"/>
        </w:rPr>
        <w:t>提出了标准</w:t>
      </w:r>
      <w:r w:rsidRPr="000A3C22">
        <w:rPr>
          <w:rFonts w:asciiTheme="minorEastAsia" w:eastAsiaTheme="minorEastAsia" w:hAnsiTheme="minorEastAsia" w:hint="eastAsia"/>
          <w:color w:val="000000"/>
          <w:spacing w:val="-2"/>
          <w:kern w:val="0"/>
          <w:sz w:val="24"/>
          <w:szCs w:val="24"/>
        </w:rPr>
        <w:t>适用范围、术语、测量方法等，</w:t>
      </w:r>
      <w:r w:rsidRPr="000A3C22">
        <w:rPr>
          <w:rFonts w:asciiTheme="minorEastAsia" w:eastAsiaTheme="minorEastAsia" w:hAnsiTheme="minorEastAsia" w:hint="eastAsia"/>
          <w:sz w:val="24"/>
          <w:szCs w:val="24"/>
        </w:rPr>
        <w:t>制定了符合集成电路</w:t>
      </w:r>
      <w:proofErr w:type="gramStart"/>
      <w:r w:rsidRPr="000A3C22">
        <w:rPr>
          <w:rFonts w:asciiTheme="minorEastAsia" w:eastAsiaTheme="minorEastAsia" w:hAnsiTheme="minorEastAsia" w:hint="eastAsia"/>
          <w:sz w:val="24"/>
          <w:szCs w:val="24"/>
        </w:rPr>
        <w:t>封测行业</w:t>
      </w:r>
      <w:proofErr w:type="gramEnd"/>
      <w:r w:rsidRPr="000A3C22">
        <w:rPr>
          <w:rFonts w:asciiTheme="minorEastAsia" w:eastAsiaTheme="minorEastAsia" w:hAnsiTheme="minorEastAsia" w:hint="eastAsia"/>
          <w:sz w:val="24"/>
          <w:szCs w:val="24"/>
        </w:rPr>
        <w:t>实际情况的相关指标，于20</w:t>
      </w:r>
      <w:r w:rsidRPr="000A3C22">
        <w:rPr>
          <w:rFonts w:asciiTheme="minorEastAsia" w:eastAsiaTheme="minorEastAsia" w:hAnsiTheme="minorEastAsia"/>
          <w:sz w:val="24"/>
          <w:szCs w:val="24"/>
        </w:rPr>
        <w:t>2</w:t>
      </w:r>
      <w:r w:rsidRPr="000A3C22">
        <w:rPr>
          <w:rFonts w:asciiTheme="minorEastAsia" w:eastAsiaTheme="minorEastAsia" w:hAnsiTheme="minorEastAsia" w:hint="eastAsia"/>
          <w:sz w:val="24"/>
          <w:szCs w:val="24"/>
        </w:rPr>
        <w:t>5年</w:t>
      </w:r>
      <w:r>
        <w:rPr>
          <w:rFonts w:asciiTheme="minorEastAsia" w:eastAsiaTheme="minorEastAsia" w:hAnsiTheme="minorEastAsia" w:hint="eastAsia"/>
          <w:sz w:val="24"/>
          <w:szCs w:val="24"/>
        </w:rPr>
        <w:t>6</w:t>
      </w:r>
      <w:r w:rsidRPr="000A3C22">
        <w:rPr>
          <w:rFonts w:asciiTheme="minorEastAsia" w:eastAsiaTheme="minorEastAsia" w:hAnsiTheme="minorEastAsia" w:hint="eastAsia"/>
          <w:sz w:val="24"/>
          <w:szCs w:val="24"/>
        </w:rPr>
        <w:t>月</w:t>
      </w:r>
      <w:r>
        <w:rPr>
          <w:rFonts w:asciiTheme="minorEastAsia" w:eastAsiaTheme="minorEastAsia" w:hAnsiTheme="minorEastAsia"/>
          <w:sz w:val="24"/>
          <w:szCs w:val="24"/>
        </w:rPr>
        <w:t>30</w:t>
      </w:r>
      <w:r w:rsidRPr="000A3C22">
        <w:rPr>
          <w:rFonts w:asciiTheme="minorEastAsia" w:eastAsiaTheme="minorEastAsia" w:hAnsiTheme="minorEastAsia" w:hint="eastAsia"/>
          <w:sz w:val="24"/>
          <w:szCs w:val="24"/>
        </w:rPr>
        <w:t>日形成《硅通孔(TSV)电镀质量无损检测方法—X射线计算机断层扫描(X-Ray CT)技术规范》工作组讨论稿。</w:t>
      </w:r>
    </w:p>
    <w:p w14:paraId="126D977E" w14:textId="093F6CB3" w:rsidR="00F85C29" w:rsidRDefault="00F85C29" w:rsidP="00F85C29">
      <w:pPr>
        <w:autoSpaceDE w:val="0"/>
        <w:autoSpaceDN w:val="0"/>
        <w:adjustRightInd w:val="0"/>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.3</w:t>
      </w:r>
      <w:r w:rsidR="005660D8">
        <w:rPr>
          <w:rFonts w:asciiTheme="minorEastAsia" w:eastAsiaTheme="minorEastAsia" w:hAnsiTheme="minorEastAsia"/>
          <w:sz w:val="24"/>
          <w:szCs w:val="24"/>
        </w:rPr>
        <w:t xml:space="preserve"> </w:t>
      </w:r>
      <w:r>
        <w:rPr>
          <w:rFonts w:asciiTheme="minorEastAsia" w:eastAsiaTheme="minorEastAsia" w:hAnsiTheme="minorEastAsia"/>
          <w:sz w:val="24"/>
          <w:szCs w:val="24"/>
        </w:rPr>
        <w:t>征求意见</w:t>
      </w:r>
    </w:p>
    <w:p w14:paraId="2B3A83ED" w14:textId="1AF1630A" w:rsidR="000249BD" w:rsidRPr="00DA5558" w:rsidRDefault="000249BD" w:rsidP="000249BD">
      <w:pPr>
        <w:autoSpaceDE w:val="0"/>
        <w:autoSpaceDN w:val="0"/>
        <w:adjustRightInd w:val="0"/>
        <w:spacing w:line="360" w:lineRule="auto"/>
        <w:ind w:firstLineChars="200" w:firstLine="472"/>
        <w:rPr>
          <w:rFonts w:asciiTheme="minorEastAsia" w:eastAsiaTheme="minorEastAsia" w:hAnsiTheme="minorEastAsia"/>
          <w:sz w:val="24"/>
          <w:szCs w:val="24"/>
        </w:rPr>
      </w:pPr>
      <w:r w:rsidRPr="00DA5558">
        <w:rPr>
          <w:rFonts w:asciiTheme="minorEastAsia" w:eastAsiaTheme="minorEastAsia" w:hAnsiTheme="minorEastAsia" w:hint="eastAsia"/>
          <w:color w:val="000000"/>
          <w:spacing w:val="-2"/>
          <w:kern w:val="0"/>
          <w:sz w:val="24"/>
          <w:szCs w:val="24"/>
        </w:rPr>
        <w:t>20</w:t>
      </w:r>
      <w:r w:rsidRPr="00DA5558">
        <w:rPr>
          <w:rFonts w:asciiTheme="minorEastAsia" w:eastAsiaTheme="minorEastAsia" w:hAnsiTheme="minorEastAsia"/>
          <w:color w:val="000000"/>
          <w:spacing w:val="-2"/>
          <w:kern w:val="0"/>
          <w:sz w:val="24"/>
          <w:szCs w:val="24"/>
        </w:rPr>
        <w:t>2</w:t>
      </w:r>
      <w:r w:rsidRPr="00DA5558">
        <w:rPr>
          <w:rFonts w:asciiTheme="minorEastAsia" w:eastAsiaTheme="minorEastAsia" w:hAnsiTheme="minorEastAsia" w:hint="eastAsia"/>
          <w:color w:val="000000"/>
          <w:spacing w:val="-2"/>
          <w:kern w:val="0"/>
          <w:sz w:val="24"/>
          <w:szCs w:val="24"/>
        </w:rPr>
        <w:t>5年</w:t>
      </w:r>
      <w:r>
        <w:rPr>
          <w:rFonts w:asciiTheme="minorEastAsia" w:eastAsiaTheme="minorEastAsia" w:hAnsiTheme="minorEastAsia"/>
          <w:color w:val="000000"/>
          <w:spacing w:val="-2"/>
          <w:kern w:val="0"/>
          <w:sz w:val="24"/>
          <w:szCs w:val="24"/>
        </w:rPr>
        <w:t>7</w:t>
      </w:r>
      <w:r w:rsidRPr="00DA5558">
        <w:rPr>
          <w:rFonts w:asciiTheme="minorEastAsia" w:eastAsiaTheme="minorEastAsia" w:hAnsiTheme="minorEastAsia" w:hint="eastAsia"/>
          <w:color w:val="000000"/>
          <w:spacing w:val="-2"/>
          <w:kern w:val="0"/>
          <w:sz w:val="24"/>
          <w:szCs w:val="24"/>
        </w:rPr>
        <w:t>月</w:t>
      </w:r>
      <w:r w:rsidR="00AF5A4B">
        <w:rPr>
          <w:rFonts w:asciiTheme="minorEastAsia" w:eastAsiaTheme="minorEastAsia" w:hAnsiTheme="minorEastAsia"/>
          <w:color w:val="000000"/>
          <w:spacing w:val="-2"/>
          <w:kern w:val="0"/>
          <w:sz w:val="24"/>
          <w:szCs w:val="24"/>
        </w:rPr>
        <w:t>11</w:t>
      </w:r>
      <w:r w:rsidRPr="00DA5558">
        <w:rPr>
          <w:rFonts w:asciiTheme="minorEastAsia" w:eastAsiaTheme="minorEastAsia" w:hAnsiTheme="minorEastAsia" w:hint="eastAsia"/>
          <w:color w:val="000000"/>
          <w:spacing w:val="-2"/>
          <w:kern w:val="0"/>
          <w:sz w:val="24"/>
          <w:szCs w:val="24"/>
        </w:rPr>
        <w:t>日，项目小组召开全体会议，逐一讨论标准内容，对各编写单位</w:t>
      </w:r>
      <w:r w:rsidRPr="00DA5558">
        <w:rPr>
          <w:rFonts w:asciiTheme="minorEastAsia" w:eastAsiaTheme="minorEastAsia" w:hAnsiTheme="minorEastAsia" w:hint="eastAsia"/>
          <w:color w:val="000000"/>
          <w:spacing w:val="-2"/>
          <w:kern w:val="0"/>
          <w:sz w:val="24"/>
          <w:szCs w:val="24"/>
        </w:rPr>
        <w:lastRenderedPageBreak/>
        <w:t>提出的意见进行讨论，经修改形成了</w:t>
      </w:r>
      <w:r w:rsidRPr="00DA5558">
        <w:rPr>
          <w:rFonts w:asciiTheme="minorEastAsia" w:eastAsiaTheme="minorEastAsia" w:hAnsiTheme="minorEastAsia" w:hint="eastAsia"/>
          <w:sz w:val="24"/>
          <w:szCs w:val="24"/>
        </w:rPr>
        <w:t>《</w:t>
      </w:r>
      <w:r w:rsidR="005660D8" w:rsidRPr="000A3C22">
        <w:rPr>
          <w:rFonts w:asciiTheme="minorEastAsia" w:eastAsiaTheme="minorEastAsia" w:hAnsiTheme="minorEastAsia" w:hint="eastAsia"/>
          <w:sz w:val="24"/>
          <w:szCs w:val="24"/>
        </w:rPr>
        <w:t>硅通孔(TSV)电镀质量无损检测方法—X射线计算机断层扫描(X-Ray CT)技术规范</w:t>
      </w:r>
      <w:r w:rsidRPr="00DA5558">
        <w:rPr>
          <w:rFonts w:asciiTheme="minorEastAsia" w:eastAsiaTheme="minorEastAsia" w:hAnsiTheme="minorEastAsia" w:hint="eastAsia"/>
          <w:color w:val="000000"/>
          <w:spacing w:val="-2"/>
          <w:kern w:val="0"/>
          <w:sz w:val="24"/>
          <w:szCs w:val="24"/>
        </w:rPr>
        <w:t>》征求意见稿，并编写编制说明。</w:t>
      </w:r>
    </w:p>
    <w:p w14:paraId="5C86CAD0" w14:textId="77777777" w:rsidR="00F85C29" w:rsidRPr="00AF5A4B" w:rsidRDefault="00F85C29">
      <w:pPr>
        <w:autoSpaceDE w:val="0"/>
        <w:autoSpaceDN w:val="0"/>
        <w:adjustRightInd w:val="0"/>
        <w:spacing w:line="360" w:lineRule="auto"/>
        <w:ind w:firstLineChars="300" w:firstLine="720"/>
        <w:rPr>
          <w:rFonts w:asciiTheme="minorEastAsia" w:eastAsiaTheme="minorEastAsia" w:hAnsiTheme="minorEastAsia" w:cs="宋体"/>
          <w:sz w:val="24"/>
          <w:szCs w:val="24"/>
        </w:rPr>
      </w:pPr>
    </w:p>
    <w:p w14:paraId="5B07737C" w14:textId="77777777" w:rsidR="00C1581F" w:rsidRPr="000A3C22" w:rsidRDefault="004C194B">
      <w:pPr>
        <w:pStyle w:val="affa"/>
        <w:numPr>
          <w:ilvl w:val="0"/>
          <w:numId w:val="11"/>
        </w:numPr>
        <w:spacing w:line="360" w:lineRule="auto"/>
        <w:ind w:left="505" w:firstLineChars="0" w:hanging="505"/>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编制标准的意义和必要性</w:t>
      </w:r>
    </w:p>
    <w:p w14:paraId="47E64612" w14:textId="77777777" w:rsidR="00C1581F" w:rsidRPr="000A3C22" w:rsidRDefault="004C194B">
      <w:pPr>
        <w:spacing w:beforeLines="50" w:before="156" w:afterLines="50" w:after="156" w:line="360" w:lineRule="auto"/>
        <w:ind w:firstLineChars="200" w:firstLine="480"/>
        <w:rPr>
          <w:rFonts w:asciiTheme="minorEastAsia" w:eastAsiaTheme="minorEastAsia" w:hAnsiTheme="minorEastAsia"/>
          <w:sz w:val="24"/>
          <w:szCs w:val="24"/>
        </w:rPr>
      </w:pPr>
      <w:r w:rsidRPr="000A3C22">
        <w:rPr>
          <w:rFonts w:asciiTheme="minorEastAsia" w:eastAsiaTheme="minorEastAsia" w:hAnsiTheme="minorEastAsia"/>
          <w:sz w:val="24"/>
          <w:szCs w:val="24"/>
        </w:rPr>
        <w:t>随着三维集成技术在高性能计算、人工智能芯片、先进封装等领域的广泛应用，硅通孔（TSV）作为垂直互连的核心结构，其电镀填充质量直接决定器件的可靠性及性能。当前行业面临两大关键挑战：</w:t>
      </w:r>
      <w:r w:rsidRPr="000A3C22">
        <w:rPr>
          <w:rFonts w:asciiTheme="minorEastAsia" w:eastAsiaTheme="minorEastAsia" w:hAnsiTheme="minorEastAsia" w:hint="eastAsia"/>
          <w:sz w:val="24"/>
          <w:szCs w:val="24"/>
        </w:rPr>
        <w:t>1）</w:t>
      </w:r>
      <w:r w:rsidRPr="000A3C22">
        <w:rPr>
          <w:rFonts w:asciiTheme="minorEastAsia" w:eastAsiaTheme="minorEastAsia" w:hAnsiTheme="minorEastAsia"/>
          <w:sz w:val="24"/>
          <w:szCs w:val="24"/>
        </w:rPr>
        <w:t>检测手段滞后：传统破坏性检测（如结合机械切片和扫描电镜观察）效率低、成本高，且无法实现全检；</w:t>
      </w:r>
      <w:r w:rsidRPr="000A3C22">
        <w:rPr>
          <w:rFonts w:asciiTheme="minorEastAsia" w:eastAsiaTheme="minorEastAsia" w:hAnsiTheme="minorEastAsia" w:hint="eastAsia"/>
          <w:sz w:val="24"/>
          <w:szCs w:val="24"/>
        </w:rPr>
        <w:t>2）</w:t>
      </w:r>
      <w:r w:rsidRPr="000A3C22">
        <w:rPr>
          <w:rFonts w:asciiTheme="minorEastAsia" w:eastAsiaTheme="minorEastAsia" w:hAnsiTheme="minorEastAsia"/>
          <w:sz w:val="24"/>
          <w:szCs w:val="24"/>
        </w:rPr>
        <w:t>标准体系缺失：国内外尚无针对TSV电镀质量的无损检测统一标准，导致设备参数设置、结果判据不一，上下游数据互认困难。</w:t>
      </w:r>
    </w:p>
    <w:p w14:paraId="681AFB33" w14:textId="77777777" w:rsidR="00C1581F" w:rsidRPr="000A3C22" w:rsidRDefault="004C194B">
      <w:pPr>
        <w:spacing w:beforeLines="50" w:before="156" w:afterLines="50" w:after="156" w:line="360" w:lineRule="auto"/>
        <w:ind w:firstLineChars="200" w:firstLine="480"/>
        <w:rPr>
          <w:rFonts w:asciiTheme="minorEastAsia" w:eastAsiaTheme="minorEastAsia" w:hAnsiTheme="minorEastAsia"/>
          <w:sz w:val="24"/>
          <w:szCs w:val="24"/>
        </w:rPr>
      </w:pPr>
      <w:r w:rsidRPr="000A3C22">
        <w:rPr>
          <w:rFonts w:asciiTheme="minorEastAsia" w:eastAsiaTheme="minorEastAsia" w:hAnsiTheme="minorEastAsia"/>
          <w:sz w:val="24"/>
          <w:szCs w:val="24"/>
        </w:rPr>
        <w:t>在TSV制造过程中，空洞(void)的形成是一个不可忽视的质量隐患。这些微观缺陷可能导致裂纹扩展、性能不稳定、功能失效等多种可靠性问题。典型的TSV结构主要包含铜填充区、可能存在的气泡空洞、TSV接触垫、二氧化硅绝缘层以及硅基底等关键组成部分。为了确保产品的可靠性和性能稳定性，业界普遍采用先进的三维X射线</w:t>
      </w:r>
      <w:r w:rsidRPr="000A3C22">
        <w:rPr>
          <w:rFonts w:asciiTheme="minorEastAsia" w:eastAsiaTheme="minorEastAsia" w:hAnsiTheme="minorEastAsia" w:hint="eastAsia"/>
          <w:sz w:val="24"/>
          <w:szCs w:val="24"/>
        </w:rPr>
        <w:t>断层扫描</w:t>
      </w:r>
      <w:r w:rsidRPr="000A3C22">
        <w:rPr>
          <w:rFonts w:asciiTheme="minorEastAsia" w:eastAsiaTheme="minorEastAsia" w:hAnsiTheme="minorEastAsia"/>
          <w:sz w:val="24"/>
          <w:szCs w:val="24"/>
        </w:rPr>
        <w:t>检测技术对TSV孔内铜填充均匀性、孔隙缺陷、界面分层等关键指标的精准量化。这种检测方法能够精确识别TSV中的各类缺陷，尤其是那些传统光学检测方法难以发现的内部空洞和填充不均问题。目前该技术已进入产业化应用前期，但亟需通过标准解决：</w:t>
      </w:r>
    </w:p>
    <w:p w14:paraId="6E23CB7C" w14:textId="77777777" w:rsidR="00C1581F" w:rsidRPr="000A3C22" w:rsidRDefault="004C194B">
      <w:pPr>
        <w:numPr>
          <w:ilvl w:val="0"/>
          <w:numId w:val="14"/>
        </w:numPr>
        <w:spacing w:beforeLines="50" w:before="156" w:afterLines="50" w:after="156"/>
        <w:rPr>
          <w:rFonts w:asciiTheme="minorEastAsia" w:eastAsiaTheme="minorEastAsia" w:hAnsiTheme="minorEastAsia"/>
          <w:sz w:val="24"/>
          <w:szCs w:val="24"/>
        </w:rPr>
      </w:pPr>
      <w:r w:rsidRPr="000A3C22">
        <w:rPr>
          <w:rFonts w:asciiTheme="minorEastAsia" w:eastAsiaTheme="minorEastAsia" w:hAnsiTheme="minorEastAsia"/>
          <w:sz w:val="24"/>
          <w:szCs w:val="24"/>
        </w:rPr>
        <w:t>检测分辨率与精度要求</w:t>
      </w:r>
    </w:p>
    <w:p w14:paraId="6E424CD4" w14:textId="77777777" w:rsidR="00C1581F" w:rsidRPr="000A3C22" w:rsidRDefault="004C194B">
      <w:pPr>
        <w:numPr>
          <w:ilvl w:val="0"/>
          <w:numId w:val="14"/>
        </w:numPr>
        <w:spacing w:beforeLines="50" w:before="156" w:afterLines="50" w:after="156"/>
        <w:rPr>
          <w:rFonts w:asciiTheme="minorEastAsia" w:eastAsiaTheme="minorEastAsia" w:hAnsiTheme="minorEastAsia"/>
          <w:sz w:val="24"/>
          <w:szCs w:val="24"/>
        </w:rPr>
      </w:pPr>
      <w:r w:rsidRPr="000A3C22">
        <w:rPr>
          <w:rFonts w:asciiTheme="minorEastAsia" w:eastAsiaTheme="minorEastAsia" w:hAnsiTheme="minorEastAsia"/>
          <w:sz w:val="24"/>
          <w:szCs w:val="24"/>
        </w:rPr>
        <w:t>伪影抑制算法规范</w:t>
      </w:r>
    </w:p>
    <w:p w14:paraId="008A59BB" w14:textId="77777777" w:rsidR="00C1581F" w:rsidRPr="000A3C22" w:rsidRDefault="004C194B">
      <w:pPr>
        <w:numPr>
          <w:ilvl w:val="0"/>
          <w:numId w:val="14"/>
        </w:numPr>
        <w:spacing w:beforeLines="50" w:before="156" w:afterLines="50" w:after="156"/>
        <w:rPr>
          <w:rFonts w:asciiTheme="minorEastAsia" w:eastAsiaTheme="minorEastAsia" w:hAnsiTheme="minorEastAsia"/>
          <w:sz w:val="24"/>
          <w:szCs w:val="24"/>
        </w:rPr>
      </w:pPr>
      <w:r w:rsidRPr="000A3C22">
        <w:rPr>
          <w:rFonts w:asciiTheme="minorEastAsia" w:eastAsiaTheme="minorEastAsia" w:hAnsiTheme="minorEastAsia"/>
          <w:sz w:val="24"/>
          <w:szCs w:val="24"/>
        </w:rPr>
        <w:t>数据重建与质量评价体系统一性</w:t>
      </w:r>
    </w:p>
    <w:p w14:paraId="56A10006" w14:textId="77777777" w:rsidR="00C1581F" w:rsidRPr="000A3C22" w:rsidRDefault="004C194B">
      <w:pPr>
        <w:spacing w:beforeLines="50" w:before="156" w:afterLines="50" w:after="156" w:line="360" w:lineRule="auto"/>
        <w:ind w:firstLineChars="200" w:firstLine="480"/>
        <w:rPr>
          <w:rFonts w:asciiTheme="minorEastAsia" w:eastAsiaTheme="minorEastAsia" w:hAnsiTheme="minorEastAsia"/>
          <w:sz w:val="24"/>
          <w:szCs w:val="24"/>
        </w:rPr>
      </w:pPr>
      <w:r w:rsidRPr="000A3C22">
        <w:rPr>
          <w:rFonts w:asciiTheme="minorEastAsia" w:eastAsiaTheme="minorEastAsia" w:hAnsiTheme="minorEastAsia"/>
          <w:sz w:val="24"/>
          <w:szCs w:val="24"/>
        </w:rPr>
        <w:t>针对TSV电镀质量检测这一集成电路先进封装核心环节，本标准的制定</w:t>
      </w:r>
      <w:r w:rsidRPr="000A3C22">
        <w:rPr>
          <w:rFonts w:asciiTheme="minorEastAsia" w:eastAsiaTheme="minorEastAsia" w:hAnsiTheme="minorEastAsia" w:hint="eastAsia"/>
          <w:sz w:val="24"/>
          <w:szCs w:val="24"/>
        </w:rPr>
        <w:t>预计</w:t>
      </w:r>
      <w:r w:rsidRPr="000A3C22">
        <w:rPr>
          <w:rFonts w:asciiTheme="minorEastAsia" w:eastAsiaTheme="minorEastAsia" w:hAnsiTheme="minorEastAsia"/>
          <w:sz w:val="24"/>
          <w:szCs w:val="24"/>
        </w:rPr>
        <w:t>可以填补相关无损检测团体</w:t>
      </w:r>
      <w:proofErr w:type="gramStart"/>
      <w:r w:rsidRPr="000A3C22">
        <w:rPr>
          <w:rFonts w:asciiTheme="minorEastAsia" w:eastAsiaTheme="minorEastAsia" w:hAnsiTheme="minorEastAsia"/>
          <w:sz w:val="24"/>
          <w:szCs w:val="24"/>
        </w:rPr>
        <w:t>标</w:t>
      </w:r>
      <w:r w:rsidRPr="000A3C22">
        <w:rPr>
          <w:rFonts w:asciiTheme="minorEastAsia" w:eastAsiaTheme="minorEastAsia" w:hAnsiTheme="minorEastAsia" w:hint="eastAsia"/>
          <w:sz w:val="24"/>
          <w:szCs w:val="24"/>
        </w:rPr>
        <w:t>以及</w:t>
      </w:r>
      <w:proofErr w:type="gramEnd"/>
      <w:r w:rsidRPr="000A3C22">
        <w:rPr>
          <w:rFonts w:asciiTheme="minorEastAsia" w:eastAsiaTheme="minorEastAsia" w:hAnsiTheme="minorEastAsia"/>
          <w:sz w:val="24"/>
          <w:szCs w:val="24"/>
        </w:rPr>
        <w:t>GB/IEC标准体系空白，支撑产业链自主可控。通过制定TSV-CT检测标准和技术规范，有助于推动相关国产检测设备技术落地，并对铜填充材料可靠性评价提供有效支撑。另外，本标准规定的≤0.5μm缺陷识别精度，</w:t>
      </w:r>
      <w:proofErr w:type="gramStart"/>
      <w:r w:rsidRPr="000A3C22">
        <w:rPr>
          <w:rFonts w:asciiTheme="minorEastAsia" w:eastAsiaTheme="minorEastAsia" w:hAnsiTheme="minorEastAsia"/>
          <w:sz w:val="24"/>
          <w:szCs w:val="24"/>
        </w:rPr>
        <w:t>直接响应</w:t>
      </w:r>
      <w:proofErr w:type="gramEnd"/>
      <w:r w:rsidRPr="000A3C22">
        <w:rPr>
          <w:rFonts w:asciiTheme="minorEastAsia" w:eastAsiaTheme="minorEastAsia" w:hAnsiTheme="minorEastAsia"/>
          <w:sz w:val="24"/>
          <w:szCs w:val="24"/>
        </w:rPr>
        <w:t>了《中国集成电路产业技术路线图(2021-2035)》对于TSV工艺质量控制</w:t>
      </w:r>
      <w:r w:rsidRPr="000A3C22">
        <w:rPr>
          <w:rFonts w:asciiTheme="minorEastAsia" w:eastAsiaTheme="minorEastAsia" w:hAnsiTheme="minorEastAsia" w:hint="eastAsia"/>
          <w:sz w:val="24"/>
          <w:szCs w:val="24"/>
        </w:rPr>
        <w:t>相关</w:t>
      </w:r>
      <w:r w:rsidRPr="000A3C22">
        <w:rPr>
          <w:rFonts w:asciiTheme="minorEastAsia" w:eastAsiaTheme="minorEastAsia" w:hAnsiTheme="minorEastAsia"/>
          <w:sz w:val="24"/>
          <w:szCs w:val="24"/>
        </w:rPr>
        <w:t>要求，为3D IC量</w:t>
      </w:r>
      <w:proofErr w:type="gramStart"/>
      <w:r w:rsidRPr="000A3C22">
        <w:rPr>
          <w:rFonts w:asciiTheme="minorEastAsia" w:eastAsiaTheme="minorEastAsia" w:hAnsiTheme="minorEastAsia"/>
          <w:sz w:val="24"/>
          <w:szCs w:val="24"/>
        </w:rPr>
        <w:t>产提供</w:t>
      </w:r>
      <w:proofErr w:type="gramEnd"/>
      <w:r w:rsidRPr="000A3C22">
        <w:rPr>
          <w:rFonts w:asciiTheme="minorEastAsia" w:eastAsiaTheme="minorEastAsia" w:hAnsiTheme="minorEastAsia"/>
          <w:sz w:val="24"/>
          <w:szCs w:val="24"/>
        </w:rPr>
        <w:t>技术保障的同时有助于解决</w:t>
      </w:r>
      <w:proofErr w:type="spellStart"/>
      <w:r w:rsidRPr="000A3C22">
        <w:rPr>
          <w:rFonts w:asciiTheme="minorEastAsia" w:eastAsiaTheme="minorEastAsia" w:hAnsiTheme="minorEastAsia"/>
          <w:sz w:val="24"/>
          <w:szCs w:val="24"/>
        </w:rPr>
        <w:t>Chiplet</w:t>
      </w:r>
      <w:proofErr w:type="spellEnd"/>
      <w:r w:rsidRPr="000A3C22">
        <w:rPr>
          <w:rFonts w:asciiTheme="minorEastAsia" w:eastAsiaTheme="minorEastAsia" w:hAnsiTheme="minorEastAsia"/>
          <w:sz w:val="24"/>
          <w:szCs w:val="24"/>
        </w:rPr>
        <w:t>互连质量评价方法的缺失问题。</w:t>
      </w:r>
    </w:p>
    <w:p w14:paraId="798ABCA5" w14:textId="77777777" w:rsidR="00C1581F" w:rsidRPr="000A3C22" w:rsidRDefault="004C194B">
      <w:pPr>
        <w:spacing w:beforeLines="50" w:before="156" w:afterLines="50" w:after="156" w:line="360" w:lineRule="auto"/>
        <w:ind w:firstLineChars="200" w:firstLine="480"/>
        <w:rPr>
          <w:rFonts w:asciiTheme="minorEastAsia" w:eastAsiaTheme="minorEastAsia" w:hAnsiTheme="minorEastAsia"/>
          <w:sz w:val="24"/>
          <w:szCs w:val="24"/>
        </w:rPr>
      </w:pPr>
      <w:r w:rsidRPr="000A3C22">
        <w:rPr>
          <w:rFonts w:asciiTheme="minorEastAsia" w:eastAsiaTheme="minorEastAsia" w:hAnsiTheme="minorEastAsia"/>
          <w:sz w:val="24"/>
          <w:szCs w:val="24"/>
        </w:rPr>
        <w:lastRenderedPageBreak/>
        <w:t>在全球半导体产业竞争日益激烈的背景下，我国半导体产业需要不断提升自身的技术水平和产品质量。制定《硅通孔(TSV)电镀质量无损检测方法—X射线计算机断层扫描(X-Ray CT)技术规范》团体标准，能够使我国在该领域拥有自己的标准话语权，增强国际竞争力，更好地参与国际分工和合作。另外，值得注意的是，国际半导体设备与材料协会(SEMI)已启动相关标准预研，国内亟需抢占标准制定先机。我国相关</w:t>
      </w:r>
      <w:r w:rsidRPr="000A3C22">
        <w:rPr>
          <w:rFonts w:asciiTheme="minorEastAsia" w:eastAsiaTheme="minorEastAsia" w:hAnsiTheme="minorEastAsia" w:hint="eastAsia"/>
          <w:sz w:val="24"/>
          <w:szCs w:val="24"/>
        </w:rPr>
        <w:t>先进封装</w:t>
      </w:r>
      <w:r w:rsidRPr="000A3C22">
        <w:rPr>
          <w:rFonts w:asciiTheme="minorEastAsia" w:eastAsiaTheme="minorEastAsia" w:hAnsiTheme="minorEastAsia"/>
          <w:sz w:val="24"/>
          <w:szCs w:val="24"/>
        </w:rPr>
        <w:t>企业均在扩产TSV产能，若无统一检测标准，</w:t>
      </w:r>
      <w:r w:rsidRPr="000A3C22">
        <w:rPr>
          <w:rFonts w:asciiTheme="minorEastAsia" w:eastAsiaTheme="minorEastAsia" w:hAnsiTheme="minorEastAsia" w:hint="eastAsia"/>
          <w:sz w:val="24"/>
          <w:szCs w:val="24"/>
        </w:rPr>
        <w:t>可能</w:t>
      </w:r>
      <w:r w:rsidRPr="000A3C22">
        <w:rPr>
          <w:rFonts w:asciiTheme="minorEastAsia" w:eastAsiaTheme="minorEastAsia" w:hAnsiTheme="minorEastAsia"/>
          <w:sz w:val="24"/>
          <w:szCs w:val="24"/>
        </w:rPr>
        <w:t>导致产业资源重复投入与技术碎片化风险。</w:t>
      </w:r>
    </w:p>
    <w:p w14:paraId="5A7402C5" w14:textId="3865C84B" w:rsidR="00C1581F" w:rsidRDefault="004C194B">
      <w:pPr>
        <w:widowControl/>
        <w:spacing w:line="360" w:lineRule="auto"/>
        <w:ind w:firstLineChars="200" w:firstLine="480"/>
        <w:rPr>
          <w:rFonts w:asciiTheme="minorEastAsia" w:eastAsiaTheme="minorEastAsia" w:hAnsiTheme="minorEastAsia"/>
          <w:sz w:val="24"/>
          <w:szCs w:val="24"/>
        </w:rPr>
      </w:pPr>
      <w:r w:rsidRPr="000A3C22">
        <w:rPr>
          <w:rFonts w:asciiTheme="minorEastAsia" w:eastAsiaTheme="minorEastAsia" w:hAnsiTheme="minorEastAsia"/>
          <w:sz w:val="24"/>
          <w:szCs w:val="24"/>
        </w:rPr>
        <w:t>目前，行业内对于使用X-Ray CT进行TSV电镀质量评价的重要性已达成共识，许多企业和科研机构在实践中积累了丰富的经验。以这些经验和数据为基础，制定团体标准具有较强的可行性和实践基础，能够确保标准的科学性、实用性和可操作性。</w:t>
      </w:r>
      <w:r w:rsidRPr="000A3C22">
        <w:rPr>
          <w:rFonts w:asciiTheme="minorEastAsia" w:eastAsiaTheme="minorEastAsia" w:hAnsiTheme="minorEastAsia" w:hint="eastAsia"/>
          <w:sz w:val="24"/>
          <w:szCs w:val="24"/>
        </w:rPr>
        <w:t>团体标准是国家标准体系的重要组成部分，编制使用X射线计算机断层扫描技术实现硅通孔电镀质量无损检测技术规范团体标准，可以为后续制定更高层次的行业标准或国家标准以及相应标准体系奠定基础，提升我省集成电路封装企业竞争力，推动我国半导体产业在硅通孔无损检测领域的标准化进程，使我国在该领域的技术标准更具话语权，</w:t>
      </w:r>
      <w:r w:rsidRPr="000A3C22">
        <w:rPr>
          <w:rFonts w:asciiTheme="minorEastAsia" w:eastAsiaTheme="minorEastAsia" w:hAnsiTheme="minorEastAsia"/>
          <w:sz w:val="24"/>
          <w:szCs w:val="24"/>
        </w:rPr>
        <w:t>都具有重要而积极的意义。</w:t>
      </w:r>
    </w:p>
    <w:p w14:paraId="33C1AA68" w14:textId="77777777" w:rsidR="004C194B" w:rsidRPr="000A3C22" w:rsidRDefault="004C194B">
      <w:pPr>
        <w:widowControl/>
        <w:spacing w:line="360" w:lineRule="auto"/>
        <w:ind w:firstLineChars="200" w:firstLine="480"/>
        <w:rPr>
          <w:rFonts w:asciiTheme="minorEastAsia" w:eastAsiaTheme="minorEastAsia" w:hAnsiTheme="minorEastAsia"/>
          <w:sz w:val="24"/>
          <w:szCs w:val="24"/>
        </w:rPr>
      </w:pPr>
    </w:p>
    <w:p w14:paraId="2F9B3116" w14:textId="77777777" w:rsidR="00C1581F" w:rsidRPr="000A3C22" w:rsidRDefault="004C194B">
      <w:pPr>
        <w:pStyle w:val="affa"/>
        <w:numPr>
          <w:ilvl w:val="0"/>
          <w:numId w:val="11"/>
        </w:numPr>
        <w:spacing w:line="360" w:lineRule="auto"/>
        <w:ind w:left="505" w:firstLineChars="0" w:hanging="505"/>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标准编制的原则（本标准制定过程中参照的主要标准等）</w:t>
      </w:r>
    </w:p>
    <w:p w14:paraId="6FB6D395" w14:textId="77777777" w:rsidR="00C1581F" w:rsidRPr="000A3C22" w:rsidRDefault="004C194B">
      <w:pPr>
        <w:pStyle w:val="affa"/>
        <w:numPr>
          <w:ilvl w:val="0"/>
          <w:numId w:val="15"/>
        </w:numPr>
        <w:spacing w:line="360" w:lineRule="auto"/>
        <w:ind w:firstLineChars="0"/>
        <w:jc w:val="left"/>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以科学、系统、规范为原则</w:t>
      </w:r>
    </w:p>
    <w:p w14:paraId="53DFFCFB" w14:textId="77777777" w:rsidR="00C1581F" w:rsidRPr="000A3C22" w:rsidRDefault="004C194B">
      <w:pPr>
        <w:autoSpaceDE w:val="0"/>
        <w:autoSpaceDN w:val="0"/>
        <w:adjustRightInd w:val="0"/>
        <w:spacing w:line="360" w:lineRule="auto"/>
        <w:ind w:firstLineChars="200" w:firstLine="480"/>
        <w:jc w:val="left"/>
        <w:rPr>
          <w:rFonts w:asciiTheme="minorEastAsia" w:eastAsiaTheme="minorEastAsia" w:hAnsiTheme="minorEastAsia" w:cs="宋体"/>
          <w:kern w:val="0"/>
          <w:sz w:val="24"/>
          <w:szCs w:val="24"/>
        </w:rPr>
      </w:pPr>
      <w:r w:rsidRPr="000A3C22">
        <w:rPr>
          <w:rFonts w:asciiTheme="minorEastAsia" w:eastAsiaTheme="minorEastAsia" w:hAnsiTheme="minorEastAsia" w:hint="eastAsia"/>
          <w:color w:val="333333"/>
          <w:sz w:val="24"/>
          <w:szCs w:val="24"/>
        </w:rPr>
        <w:t>本</w:t>
      </w:r>
      <w:r w:rsidRPr="000A3C22">
        <w:rPr>
          <w:rFonts w:asciiTheme="minorEastAsia" w:eastAsiaTheme="minorEastAsia" w:hAnsiTheme="minorEastAsia" w:cs="Arial"/>
          <w:color w:val="333333"/>
          <w:sz w:val="24"/>
          <w:szCs w:val="24"/>
          <w:shd w:val="clear" w:color="auto" w:fill="FFFFFF"/>
        </w:rPr>
        <w:t xml:space="preserve">标准编制遵循 </w:t>
      </w:r>
      <w:r w:rsidRPr="000A3C22">
        <w:rPr>
          <w:rFonts w:asciiTheme="minorEastAsia" w:eastAsiaTheme="minorEastAsia" w:hAnsiTheme="minorEastAsia" w:cs="Arial" w:hint="eastAsia"/>
          <w:color w:val="333333"/>
          <w:sz w:val="24"/>
          <w:szCs w:val="24"/>
          <w:shd w:val="clear" w:color="auto" w:fill="FFFFFF"/>
        </w:rPr>
        <w:t>科学性、系统</w:t>
      </w:r>
      <w:r w:rsidRPr="000A3C22">
        <w:rPr>
          <w:rFonts w:asciiTheme="minorEastAsia" w:eastAsiaTheme="minorEastAsia" w:hAnsiTheme="minorEastAsia" w:cs="Arial"/>
          <w:color w:val="333333"/>
          <w:sz w:val="24"/>
          <w:szCs w:val="24"/>
          <w:shd w:val="clear" w:color="auto" w:fill="FFFFFF"/>
        </w:rPr>
        <w:t>性、适用性、规范性</w:t>
      </w:r>
      <w:r w:rsidRPr="000A3C22">
        <w:rPr>
          <w:rFonts w:asciiTheme="minorEastAsia" w:eastAsiaTheme="minorEastAsia" w:hAnsiTheme="minorEastAsia"/>
          <w:sz w:val="24"/>
          <w:szCs w:val="24"/>
        </w:rPr>
        <w:t> </w:t>
      </w:r>
      <w:r w:rsidRPr="000A3C22">
        <w:rPr>
          <w:rFonts w:asciiTheme="minorEastAsia" w:eastAsiaTheme="minorEastAsia" w:hAnsiTheme="minorEastAsia"/>
          <w:color w:val="333333"/>
          <w:sz w:val="24"/>
          <w:szCs w:val="24"/>
        </w:rPr>
        <w:t>的原则</w:t>
      </w:r>
      <w:r w:rsidRPr="000A3C22">
        <w:rPr>
          <w:rFonts w:asciiTheme="minorEastAsia" w:eastAsiaTheme="minorEastAsia" w:hAnsiTheme="minorEastAsia" w:cs="Arial"/>
          <w:color w:val="333333"/>
          <w:sz w:val="24"/>
          <w:szCs w:val="24"/>
          <w:shd w:val="clear" w:color="auto" w:fill="FFFFFF"/>
        </w:rPr>
        <w:t>,</w:t>
      </w:r>
      <w:r w:rsidRPr="000A3C22">
        <w:rPr>
          <w:rFonts w:asciiTheme="minorEastAsia" w:eastAsiaTheme="minorEastAsia" w:hAnsiTheme="minorEastAsia" w:cs="Arial" w:hint="eastAsia"/>
          <w:color w:val="333333"/>
          <w:sz w:val="24"/>
          <w:szCs w:val="24"/>
          <w:shd w:val="clear" w:color="auto" w:fill="FFFFFF"/>
        </w:rPr>
        <w:t>以我国集成电路封装骨干企业的产品实际生产情况和实验数据为依据，</w:t>
      </w:r>
      <w:r w:rsidRPr="000A3C22">
        <w:rPr>
          <w:rFonts w:asciiTheme="minorEastAsia" w:eastAsiaTheme="minorEastAsia" w:hAnsiTheme="minorEastAsia" w:cs="宋体" w:hint="eastAsia"/>
          <w:kern w:val="0"/>
          <w:sz w:val="24"/>
          <w:szCs w:val="24"/>
        </w:rPr>
        <w:t>经过科学研究而制定；</w:t>
      </w:r>
      <w:r w:rsidRPr="000A3C22">
        <w:rPr>
          <w:rFonts w:asciiTheme="minorEastAsia" w:eastAsiaTheme="minorEastAsia" w:hAnsiTheme="minorEastAsia" w:cs="Arial" w:hint="eastAsia"/>
          <w:color w:val="333333"/>
          <w:sz w:val="24"/>
          <w:szCs w:val="24"/>
          <w:shd w:val="clear" w:color="auto" w:fill="FFFFFF"/>
        </w:rPr>
        <w:t>注重标准的可操作性和通用性，在标准结构上</w:t>
      </w:r>
      <w:r w:rsidRPr="000A3C22">
        <w:rPr>
          <w:rFonts w:asciiTheme="minorEastAsia" w:eastAsiaTheme="minorEastAsia" w:hAnsiTheme="minorEastAsia" w:cs="Arial"/>
          <w:color w:val="333333"/>
          <w:sz w:val="24"/>
          <w:szCs w:val="24"/>
          <w:shd w:val="clear" w:color="auto" w:fill="FFFFFF"/>
        </w:rPr>
        <w:t>严格按照GB/T 1.1</w:t>
      </w:r>
      <w:r w:rsidRPr="000A3C22">
        <w:rPr>
          <w:rFonts w:asciiTheme="minorEastAsia" w:eastAsiaTheme="minorEastAsia" w:hAnsiTheme="minorEastAsia" w:cs="Arial" w:hint="eastAsia"/>
          <w:color w:val="333333"/>
          <w:sz w:val="24"/>
          <w:szCs w:val="24"/>
          <w:shd w:val="clear" w:color="auto" w:fill="FFFFFF"/>
        </w:rPr>
        <w:t>—</w:t>
      </w:r>
      <w:r w:rsidRPr="000A3C22">
        <w:rPr>
          <w:rFonts w:asciiTheme="minorEastAsia" w:eastAsiaTheme="minorEastAsia" w:hAnsiTheme="minorEastAsia" w:cs="Arial"/>
          <w:color w:val="333333"/>
          <w:sz w:val="24"/>
          <w:szCs w:val="24"/>
          <w:shd w:val="clear" w:color="auto" w:fill="FFFFFF"/>
        </w:rPr>
        <w:t>2020</w:t>
      </w:r>
      <w:r w:rsidRPr="000A3C22">
        <w:rPr>
          <w:rFonts w:asciiTheme="minorEastAsia" w:eastAsiaTheme="minorEastAsia" w:hAnsiTheme="minorEastAsia" w:cs="Arial" w:hint="eastAsia"/>
          <w:color w:val="333333"/>
          <w:sz w:val="24"/>
          <w:szCs w:val="24"/>
          <w:shd w:val="clear" w:color="auto" w:fill="FFFFFF"/>
        </w:rPr>
        <w:t>《标准化工作导则</w:t>
      </w:r>
      <w:r w:rsidRPr="000A3C22">
        <w:rPr>
          <w:rFonts w:asciiTheme="minorEastAsia" w:eastAsiaTheme="minorEastAsia" w:hAnsiTheme="minorEastAsia" w:cs="Arial"/>
          <w:color w:val="333333"/>
          <w:sz w:val="24"/>
          <w:szCs w:val="24"/>
          <w:shd w:val="clear" w:color="auto" w:fill="FFFFFF"/>
        </w:rPr>
        <w:t xml:space="preserve">  </w:t>
      </w:r>
      <w:r w:rsidRPr="000A3C22">
        <w:rPr>
          <w:rFonts w:asciiTheme="minorEastAsia" w:eastAsiaTheme="minorEastAsia" w:hAnsiTheme="minorEastAsia" w:cs="Arial" w:hint="eastAsia"/>
          <w:color w:val="333333"/>
          <w:sz w:val="24"/>
          <w:szCs w:val="24"/>
          <w:shd w:val="clear" w:color="auto" w:fill="FFFFFF"/>
        </w:rPr>
        <w:t>第</w:t>
      </w:r>
      <w:r w:rsidRPr="000A3C22">
        <w:rPr>
          <w:rFonts w:asciiTheme="minorEastAsia" w:eastAsiaTheme="minorEastAsia" w:hAnsiTheme="minorEastAsia" w:cs="Arial"/>
          <w:color w:val="333333"/>
          <w:sz w:val="24"/>
          <w:szCs w:val="24"/>
          <w:shd w:val="clear" w:color="auto" w:fill="FFFFFF"/>
        </w:rPr>
        <w:t>1</w:t>
      </w:r>
      <w:r w:rsidRPr="000A3C22">
        <w:rPr>
          <w:rFonts w:asciiTheme="minorEastAsia" w:eastAsiaTheme="minorEastAsia" w:hAnsiTheme="minorEastAsia" w:cs="Arial" w:hint="eastAsia"/>
          <w:color w:val="333333"/>
          <w:sz w:val="24"/>
          <w:szCs w:val="24"/>
          <w:shd w:val="clear" w:color="auto" w:fill="FFFFFF"/>
        </w:rPr>
        <w:t>部分：标准化文件的结构和起草规则》编制，并参考和引用了多项国内标准，在内容上</w:t>
      </w:r>
      <w:r w:rsidRPr="000A3C22">
        <w:rPr>
          <w:rFonts w:asciiTheme="minorEastAsia" w:eastAsiaTheme="minorEastAsia" w:hAnsiTheme="minorEastAsia" w:cs="Arial"/>
          <w:color w:val="333333"/>
          <w:sz w:val="24"/>
          <w:szCs w:val="24"/>
          <w:shd w:val="clear" w:color="auto" w:fill="FFFFFF"/>
        </w:rPr>
        <w:t>尽可能与国际通行标准接轨</w:t>
      </w:r>
      <w:r w:rsidRPr="000A3C22">
        <w:rPr>
          <w:rFonts w:asciiTheme="minorEastAsia" w:eastAsiaTheme="minorEastAsia" w:hAnsiTheme="minorEastAsia" w:cs="Arial" w:hint="eastAsia"/>
          <w:color w:val="333333"/>
          <w:sz w:val="24"/>
          <w:szCs w:val="24"/>
          <w:shd w:val="clear" w:color="auto" w:fill="FFFFFF"/>
        </w:rPr>
        <w:t>。</w:t>
      </w:r>
    </w:p>
    <w:p w14:paraId="52F8FAC8" w14:textId="77777777" w:rsidR="00C1581F" w:rsidRPr="000A3C22" w:rsidRDefault="004C194B">
      <w:pPr>
        <w:pStyle w:val="affa"/>
        <w:numPr>
          <w:ilvl w:val="0"/>
          <w:numId w:val="15"/>
        </w:numPr>
        <w:spacing w:line="360" w:lineRule="auto"/>
        <w:ind w:firstLineChars="0"/>
        <w:jc w:val="left"/>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遵循国家标准，与国际标准接轨</w:t>
      </w:r>
    </w:p>
    <w:p w14:paraId="34B99D14" w14:textId="285B9860" w:rsidR="00C1581F" w:rsidRDefault="004C194B">
      <w:pPr>
        <w:pStyle w:val="aff9"/>
        <w:spacing w:line="360" w:lineRule="auto"/>
        <w:ind w:firstLine="480"/>
        <w:rPr>
          <w:rFonts w:asciiTheme="minorEastAsia" w:eastAsiaTheme="minorEastAsia" w:hAnsiTheme="minorEastAsia" w:cs="宋体"/>
          <w:sz w:val="24"/>
          <w:szCs w:val="24"/>
        </w:rPr>
      </w:pPr>
      <w:r w:rsidRPr="000A3C22">
        <w:rPr>
          <w:rFonts w:asciiTheme="minorEastAsia" w:eastAsiaTheme="minorEastAsia" w:hAnsiTheme="minorEastAsia" w:cs="宋体" w:hint="eastAsia"/>
          <w:sz w:val="24"/>
          <w:szCs w:val="24"/>
        </w:rPr>
        <w:t>本标准在制定过程中，参考了国内外</w:t>
      </w:r>
      <w:r w:rsidRPr="000A3C22">
        <w:rPr>
          <w:rFonts w:asciiTheme="minorEastAsia" w:eastAsiaTheme="minorEastAsia" w:hAnsiTheme="minorEastAsia" w:hint="eastAsia"/>
          <w:sz w:val="24"/>
          <w:szCs w:val="24"/>
        </w:rPr>
        <w:t>《</w:t>
      </w:r>
      <w:r w:rsidRPr="000A3C22">
        <w:rPr>
          <w:rFonts w:asciiTheme="minorEastAsia" w:eastAsiaTheme="minorEastAsia" w:hAnsiTheme="minorEastAsia" w:hint="eastAsia"/>
          <w:color w:val="000000"/>
          <w:spacing w:val="-2"/>
          <w:sz w:val="24"/>
          <w:szCs w:val="24"/>
        </w:rPr>
        <w:t>GB/T 43536.1-2023 三维集成电路 第1部分：术语和定义—硅通孔(TSV)</w:t>
      </w:r>
      <w:r w:rsidRPr="000A3C22">
        <w:rPr>
          <w:rFonts w:asciiTheme="minorEastAsia" w:eastAsiaTheme="minorEastAsia" w:hAnsiTheme="minorEastAsia" w:cs="宋体" w:hint="eastAsia"/>
          <w:sz w:val="24"/>
          <w:szCs w:val="24"/>
        </w:rPr>
        <w:t>》、《</w:t>
      </w:r>
      <w:r w:rsidRPr="000A3C22">
        <w:rPr>
          <w:rFonts w:asciiTheme="minorEastAsia" w:eastAsiaTheme="minorEastAsia" w:hAnsiTheme="minorEastAsia" w:hint="eastAsia"/>
          <w:color w:val="000000"/>
          <w:spacing w:val="-2"/>
          <w:sz w:val="24"/>
          <w:szCs w:val="24"/>
        </w:rPr>
        <w:t>GBZ 117-2022 工业探伤放射防护标准—工业CT无损检测</w:t>
      </w:r>
      <w:r w:rsidRPr="000A3C22">
        <w:rPr>
          <w:rFonts w:asciiTheme="minorEastAsia" w:eastAsiaTheme="minorEastAsia" w:hAnsiTheme="minorEastAsia" w:cs="宋体" w:hint="eastAsia"/>
          <w:sz w:val="24"/>
          <w:szCs w:val="24"/>
        </w:rPr>
        <w:t>》、《GB/T 12604.2-2020 无损检测术语—射线检测—空间分辨率》、《GB/T 3138-1982 电镀常用名词术语》、《GB/T 5935-1986 镀层孔隙率测试—填充致密度评估》、《GB/T 4955-1985 金属覆盖层厚度测量—阳极溶解</w:t>
      </w:r>
      <w:r w:rsidRPr="000A3C22">
        <w:rPr>
          <w:rFonts w:asciiTheme="minorEastAsia" w:eastAsiaTheme="minorEastAsia" w:hAnsiTheme="minorEastAsia" w:cs="宋体" w:hint="eastAsia"/>
          <w:sz w:val="24"/>
          <w:szCs w:val="24"/>
        </w:rPr>
        <w:lastRenderedPageBreak/>
        <w:t>库伦方法》、SEMI MF2912-2023 Guide For X-Ray Computed Tomography in Electronics</w:t>
      </w:r>
      <w:proofErr w:type="gramStart"/>
      <w:r w:rsidRPr="000A3C22">
        <w:rPr>
          <w:rFonts w:asciiTheme="minorEastAsia" w:eastAsiaTheme="minorEastAsia" w:hAnsiTheme="minorEastAsia" w:cs="宋体" w:hint="eastAsia"/>
          <w:sz w:val="24"/>
          <w:szCs w:val="24"/>
        </w:rPr>
        <w:t>》</w:t>
      </w:r>
      <w:proofErr w:type="gramEnd"/>
      <w:r w:rsidRPr="000A3C22">
        <w:rPr>
          <w:rFonts w:asciiTheme="minorEastAsia" w:eastAsiaTheme="minorEastAsia" w:hAnsiTheme="minorEastAsia" w:cs="宋体" w:hint="eastAsia"/>
          <w:sz w:val="24"/>
          <w:szCs w:val="24"/>
        </w:rPr>
        <w:t>、《ISO 15708-2017 无损检测—辐射方法—计算机断层扫描》</w:t>
      </w:r>
      <w:r w:rsidRPr="000A3C22">
        <w:rPr>
          <w:rFonts w:asciiTheme="minorEastAsia" w:eastAsiaTheme="minorEastAsia" w:hAnsiTheme="minorEastAsia" w:hint="eastAsia"/>
          <w:color w:val="000000"/>
          <w:spacing w:val="-2"/>
          <w:sz w:val="24"/>
          <w:szCs w:val="24"/>
        </w:rPr>
        <w:t>等相关多项国外标准。</w:t>
      </w:r>
      <w:r w:rsidRPr="000A3C22">
        <w:rPr>
          <w:rFonts w:asciiTheme="minorEastAsia" w:eastAsiaTheme="minorEastAsia" w:hAnsiTheme="minorEastAsia" w:cs="宋体" w:hint="eastAsia"/>
          <w:sz w:val="24"/>
          <w:szCs w:val="24"/>
        </w:rPr>
        <w:t>编制过程中力求使本标准科学合理，以适应封装产品高可靠性的需求，对项目设置和指标进行认真研究、优化，为我国集成电路</w:t>
      </w:r>
      <w:proofErr w:type="gramStart"/>
      <w:r w:rsidRPr="000A3C22">
        <w:rPr>
          <w:rFonts w:asciiTheme="minorEastAsia" w:eastAsiaTheme="minorEastAsia" w:hAnsiTheme="minorEastAsia" w:cs="宋体" w:hint="eastAsia"/>
          <w:sz w:val="24"/>
          <w:szCs w:val="24"/>
        </w:rPr>
        <w:t>封测行业</w:t>
      </w:r>
      <w:proofErr w:type="gramEnd"/>
      <w:r w:rsidRPr="000A3C22">
        <w:rPr>
          <w:rFonts w:asciiTheme="minorEastAsia" w:eastAsiaTheme="minorEastAsia" w:hAnsiTheme="minorEastAsia" w:cs="宋体" w:hint="eastAsia"/>
          <w:sz w:val="24"/>
          <w:szCs w:val="24"/>
        </w:rPr>
        <w:t>相关产品研发提供封装类的规范和依据。</w:t>
      </w:r>
    </w:p>
    <w:p w14:paraId="5CF173BD" w14:textId="77777777" w:rsidR="004C194B" w:rsidRPr="000A3C22" w:rsidRDefault="004C194B">
      <w:pPr>
        <w:pStyle w:val="aff9"/>
        <w:spacing w:line="360" w:lineRule="auto"/>
        <w:ind w:firstLine="480"/>
        <w:rPr>
          <w:rFonts w:asciiTheme="minorEastAsia" w:eastAsiaTheme="minorEastAsia" w:hAnsiTheme="minorEastAsia"/>
          <w:sz w:val="24"/>
          <w:szCs w:val="24"/>
        </w:rPr>
      </w:pPr>
    </w:p>
    <w:p w14:paraId="4FCBDA9C" w14:textId="77777777" w:rsidR="00C1581F" w:rsidRPr="000A3C22" w:rsidRDefault="004C194B">
      <w:pPr>
        <w:pStyle w:val="affa"/>
        <w:numPr>
          <w:ilvl w:val="0"/>
          <w:numId w:val="11"/>
        </w:numPr>
        <w:spacing w:line="360" w:lineRule="auto"/>
        <w:ind w:firstLineChars="0"/>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各项指标的确定和依据说明</w:t>
      </w:r>
    </w:p>
    <w:p w14:paraId="5A8E8469" w14:textId="77777777" w:rsidR="00C1581F" w:rsidRPr="000A3C22" w:rsidRDefault="004C194B">
      <w:pPr>
        <w:pStyle w:val="affa"/>
        <w:numPr>
          <w:ilvl w:val="0"/>
          <w:numId w:val="16"/>
        </w:numPr>
        <w:spacing w:beforeLines="50" w:before="156" w:afterLines="50" w:after="156" w:line="360" w:lineRule="auto"/>
        <w:ind w:left="839" w:firstLineChars="0"/>
        <w:jc w:val="left"/>
        <w:rPr>
          <w:rFonts w:asciiTheme="minorEastAsia" w:eastAsiaTheme="minorEastAsia" w:hAnsiTheme="minorEastAsia" w:cs="宋体"/>
          <w:b/>
          <w:bCs/>
          <w:kern w:val="0"/>
          <w:sz w:val="24"/>
          <w:szCs w:val="24"/>
        </w:rPr>
      </w:pPr>
      <w:r w:rsidRPr="000A3C22">
        <w:rPr>
          <w:rFonts w:asciiTheme="minorEastAsia" w:eastAsiaTheme="minorEastAsia" w:hAnsiTheme="minorEastAsia" w:cs="宋体" w:hint="eastAsia"/>
          <w:b/>
          <w:bCs/>
          <w:kern w:val="0"/>
          <w:sz w:val="24"/>
          <w:szCs w:val="24"/>
        </w:rPr>
        <w:t>硅通孔缺陷检测对设备空间分辨率要求</w:t>
      </w:r>
    </w:p>
    <w:p w14:paraId="287AA602" w14:textId="77777777" w:rsidR="00C1581F" w:rsidRPr="000A3C22" w:rsidRDefault="004C194B">
      <w:pPr>
        <w:widowControl/>
        <w:spacing w:line="360" w:lineRule="auto"/>
        <w:ind w:firstLineChars="200" w:firstLine="480"/>
        <w:rPr>
          <w:rFonts w:asciiTheme="minorEastAsia" w:eastAsiaTheme="minorEastAsia" w:hAnsiTheme="minorEastAsia" w:cs="宋体"/>
          <w:kern w:val="0"/>
          <w:sz w:val="24"/>
          <w:szCs w:val="24"/>
        </w:rPr>
      </w:pPr>
      <w:r w:rsidRPr="000A3C22">
        <w:rPr>
          <w:rFonts w:asciiTheme="minorEastAsia" w:eastAsiaTheme="minorEastAsia" w:hAnsiTheme="minorEastAsia" w:cs="宋体" w:hint="eastAsia"/>
          <w:kern w:val="0"/>
          <w:sz w:val="24"/>
          <w:szCs w:val="24"/>
        </w:rPr>
        <w:t>空间分辨率作为评价X-Ray CT系统成像精度的核心指标，直接决定了系统对硅通孔(TSV)内部微米级缺陷的识别能力。对于TSV而言，电镀微孔隙临界尺寸约为1.0μm。而0.5μm孔隙使电阻值增加量≤0.1%，而1.0μm孔隙将导致电阻骤增≥3%。对于CT设备而言，空间分辨率理论值约等于焦点尺寸的1.2倍，工业微焦点管最小焦点尺寸约为0.4μm，因此，理论极限约为0.48μm。实际生产中，设定1.0μm作为空间分辨率要求，显然可以平衡效率和成本。实际上，SEMI 2912-2023行业标准，对Class B也要求≤1.0μm，与本标准相关要求一致。</w:t>
      </w:r>
    </w:p>
    <w:p w14:paraId="043F69DB" w14:textId="77777777" w:rsidR="00C1581F" w:rsidRPr="000A3C22" w:rsidRDefault="004C194B">
      <w:pPr>
        <w:pStyle w:val="affa"/>
        <w:numPr>
          <w:ilvl w:val="0"/>
          <w:numId w:val="16"/>
        </w:numPr>
        <w:spacing w:beforeLines="50" w:before="156" w:afterLines="50" w:after="156" w:line="360" w:lineRule="auto"/>
        <w:ind w:left="839" w:firstLineChars="0"/>
        <w:jc w:val="left"/>
        <w:rPr>
          <w:rFonts w:asciiTheme="minorEastAsia" w:eastAsiaTheme="minorEastAsia" w:hAnsiTheme="minorEastAsia" w:cs="宋体"/>
          <w:b/>
          <w:bCs/>
          <w:kern w:val="0"/>
          <w:sz w:val="24"/>
          <w:szCs w:val="24"/>
        </w:rPr>
      </w:pPr>
      <w:r w:rsidRPr="000A3C22">
        <w:rPr>
          <w:rFonts w:asciiTheme="minorEastAsia" w:eastAsiaTheme="minorEastAsia" w:hAnsiTheme="minorEastAsia" w:cs="宋体" w:hint="eastAsia"/>
          <w:b/>
          <w:bCs/>
          <w:kern w:val="0"/>
          <w:sz w:val="24"/>
          <w:szCs w:val="24"/>
        </w:rPr>
        <w:t>硅通孔缺陷检测对设备密度分辨率要求</w:t>
      </w:r>
    </w:p>
    <w:p w14:paraId="0FCCA2D8" w14:textId="77777777" w:rsidR="00C1581F" w:rsidRPr="000A3C22" w:rsidRDefault="004C194B">
      <w:pPr>
        <w:widowControl/>
        <w:spacing w:line="360" w:lineRule="auto"/>
        <w:ind w:firstLineChars="200" w:firstLine="480"/>
        <w:rPr>
          <w:rFonts w:asciiTheme="minorEastAsia" w:eastAsiaTheme="minorEastAsia" w:hAnsiTheme="minorEastAsia" w:cstheme="minorEastAsia"/>
          <w:kern w:val="0"/>
          <w:sz w:val="24"/>
          <w:szCs w:val="24"/>
        </w:rPr>
      </w:pPr>
      <w:r w:rsidRPr="000A3C22">
        <w:rPr>
          <w:rFonts w:asciiTheme="minorEastAsia" w:eastAsiaTheme="minorEastAsia" w:hAnsiTheme="minorEastAsia" w:cs="宋体" w:hint="eastAsia"/>
          <w:kern w:val="0"/>
          <w:sz w:val="24"/>
          <w:szCs w:val="24"/>
        </w:rPr>
        <w:t>密度分辨率反映了系统区分材料微小密度差异的能力，对检测TSV电镀层的成分均匀性和杂质夹杂至关重要。本提案要求密度分辨率≤1.0%（即能区分密度差异≥1.0%的材料区域)。铜电镀填充过程中可能产生空隙（密度接近0 g/cm³）以及杂质夹杂（如有机添加剂分解产物，密度低于铜)，理论上铜与上述缺陷的密度差较大，理论对比度均大于98%。但实际测试过程中，由于测试过程中的噪声干扰，在信噪比SNR≥5时，最小可分辨Δρ≈1.0%。在实际量</w:t>
      </w:r>
      <w:proofErr w:type="gramStart"/>
      <w:r w:rsidRPr="000A3C22">
        <w:rPr>
          <w:rFonts w:asciiTheme="minorEastAsia" w:eastAsiaTheme="minorEastAsia" w:hAnsiTheme="minorEastAsia" w:cs="宋体" w:hint="eastAsia"/>
          <w:kern w:val="0"/>
          <w:sz w:val="24"/>
          <w:szCs w:val="24"/>
        </w:rPr>
        <w:t>产环境</w:t>
      </w:r>
      <w:proofErr w:type="gramEnd"/>
      <w:r w:rsidRPr="000A3C22">
        <w:rPr>
          <w:rFonts w:asciiTheme="minorEastAsia" w:eastAsiaTheme="minorEastAsia" w:hAnsiTheme="minorEastAsia" w:cs="宋体" w:hint="eastAsia"/>
          <w:kern w:val="0"/>
          <w:sz w:val="24"/>
          <w:szCs w:val="24"/>
        </w:rPr>
        <w:t>测试也发现，当Δρ≈0.8%时孔隙检出率约为98%，而当Δρ≈1.2%时孔隙检出率降低至85%。因此，针对量产场景，本提案要求密度分辨率≤1.0%，预期孔隙检出率达到95%以上，以平衡效率和成本。</w:t>
      </w:r>
    </w:p>
    <w:p w14:paraId="388FF95C" w14:textId="77777777" w:rsidR="00C1581F" w:rsidRPr="000A3C22" w:rsidRDefault="004C194B">
      <w:pPr>
        <w:widowControl/>
        <w:numPr>
          <w:ilvl w:val="0"/>
          <w:numId w:val="16"/>
        </w:numPr>
        <w:spacing w:line="360" w:lineRule="auto"/>
        <w:ind w:left="839"/>
        <w:rPr>
          <w:rFonts w:asciiTheme="minorEastAsia" w:eastAsiaTheme="minorEastAsia" w:hAnsiTheme="minorEastAsia" w:cs="宋体"/>
          <w:b/>
          <w:bCs/>
          <w:kern w:val="0"/>
          <w:sz w:val="24"/>
          <w:szCs w:val="24"/>
        </w:rPr>
      </w:pPr>
      <w:r w:rsidRPr="000A3C22">
        <w:rPr>
          <w:rFonts w:asciiTheme="minorEastAsia" w:eastAsiaTheme="minorEastAsia" w:hAnsiTheme="minorEastAsia" w:cs="宋体" w:hint="eastAsia"/>
          <w:b/>
          <w:bCs/>
          <w:kern w:val="0"/>
          <w:sz w:val="24"/>
          <w:szCs w:val="24"/>
        </w:rPr>
        <w:t>硅通孔缺陷检测对扫描时间的要求</w:t>
      </w:r>
    </w:p>
    <w:p w14:paraId="7F78E451" w14:textId="3E93FF7A" w:rsidR="00C1581F" w:rsidRPr="000A3C22" w:rsidRDefault="00C33002" w:rsidP="00375991">
      <w:pPr>
        <w:widowControl/>
        <w:spacing w:line="360" w:lineRule="auto"/>
        <w:ind w:firstLineChars="200" w:firstLine="480"/>
        <w:rPr>
          <w:rFonts w:asciiTheme="minorEastAsia" w:eastAsiaTheme="minorEastAsia" w:hAnsiTheme="minorEastAsia" w:cs="宋体"/>
          <w:kern w:val="0"/>
          <w:sz w:val="24"/>
          <w:szCs w:val="24"/>
        </w:rPr>
      </w:pPr>
      <w:r w:rsidRPr="000A3C22">
        <w:rPr>
          <w:rFonts w:asciiTheme="minorEastAsia" w:eastAsiaTheme="minorEastAsia" w:hAnsiTheme="minorEastAsia" w:cs="宋体" w:hint="eastAsia"/>
          <w:kern w:val="0"/>
          <w:sz w:val="24"/>
          <w:szCs w:val="24"/>
        </w:rPr>
        <w:lastRenderedPageBreak/>
        <w:t>针对量产应用，本标准对CT扫描时间做了相应规定，要求单芯片扫描时间控制在约5min。计算依据如下：为了满足香农采样定理，角度增量≤0.45°的情况下，投影数量需要不低于800幅，而为了满足信噪比SNR≥25dB，单幅曝光时间需要控制在80ms；考虑到机械转速速度极限约为每秒钟1.2°，可计算出单芯片扫描时间结果约为364s，即约6min。为了将单芯片扫描时间压缩至5min以内，需要AI加速重建。</w:t>
      </w:r>
    </w:p>
    <w:p w14:paraId="5BDBE44C" w14:textId="25C7BB0F" w:rsidR="00C1581F" w:rsidRPr="000A3C22" w:rsidRDefault="004C194B">
      <w:pPr>
        <w:pStyle w:val="affa"/>
        <w:numPr>
          <w:ilvl w:val="0"/>
          <w:numId w:val="16"/>
        </w:numPr>
        <w:spacing w:beforeLines="50" w:before="156" w:afterLines="50" w:after="156" w:line="360" w:lineRule="auto"/>
        <w:ind w:left="839" w:firstLineChars="0"/>
        <w:jc w:val="left"/>
        <w:rPr>
          <w:rFonts w:asciiTheme="minorEastAsia" w:eastAsiaTheme="minorEastAsia" w:hAnsiTheme="minorEastAsia" w:cs="宋体"/>
          <w:b/>
          <w:bCs/>
          <w:kern w:val="0"/>
          <w:sz w:val="24"/>
          <w:szCs w:val="24"/>
        </w:rPr>
      </w:pPr>
      <w:r w:rsidRPr="000A3C22">
        <w:rPr>
          <w:rFonts w:asciiTheme="minorEastAsia" w:eastAsiaTheme="minorEastAsia" w:hAnsiTheme="minorEastAsia" w:cs="宋体" w:hint="eastAsia"/>
          <w:b/>
          <w:bCs/>
          <w:kern w:val="0"/>
          <w:sz w:val="24"/>
          <w:szCs w:val="24"/>
        </w:rPr>
        <w:t>硅通孔缺陷</w:t>
      </w:r>
      <w:r w:rsidR="00C33002" w:rsidRPr="000A3C22">
        <w:rPr>
          <w:rFonts w:asciiTheme="minorEastAsia" w:eastAsiaTheme="minorEastAsia" w:hAnsiTheme="minorEastAsia" w:cs="宋体" w:hint="eastAsia"/>
          <w:b/>
          <w:bCs/>
          <w:kern w:val="0"/>
          <w:sz w:val="24"/>
          <w:szCs w:val="24"/>
        </w:rPr>
        <w:t>验收阈值</w:t>
      </w:r>
    </w:p>
    <w:p w14:paraId="1DD21CFD" w14:textId="78A2E55F" w:rsidR="00C1581F" w:rsidRPr="000A3C22" w:rsidRDefault="00C33002">
      <w:pPr>
        <w:pStyle w:val="aff4"/>
        <w:widowControl/>
        <w:spacing w:line="360" w:lineRule="auto"/>
        <w:ind w:firstLineChars="200" w:firstLine="480"/>
        <w:rPr>
          <w:rFonts w:eastAsiaTheme="minorEastAsia"/>
          <w:kern w:val="0"/>
          <w:szCs w:val="24"/>
        </w:rPr>
      </w:pPr>
      <w:r w:rsidRPr="000A3C22">
        <w:rPr>
          <w:rFonts w:eastAsiaTheme="minorEastAsia"/>
          <w:kern w:val="0"/>
          <w:szCs w:val="24"/>
        </w:rPr>
        <w:t>考虑硅通孔缺陷失效模型，其中</w:t>
      </w:r>
      <w:r w:rsidR="00375991" w:rsidRPr="000A3C22">
        <w:rPr>
          <w:rFonts w:eastAsiaTheme="minorEastAsia"/>
          <w:kern w:val="0"/>
          <w:szCs w:val="24"/>
        </w:rPr>
        <w:t>λ</w:t>
      </w:r>
      <w:r w:rsidR="00375991" w:rsidRPr="000A3C22">
        <w:rPr>
          <w:rFonts w:eastAsiaTheme="minorEastAsia"/>
          <w:kern w:val="0"/>
          <w:szCs w:val="24"/>
        </w:rPr>
        <w:t>表示单孔隙导致失效概率</w:t>
      </w:r>
      <w:r w:rsidR="00375991" w:rsidRPr="000A3C22">
        <w:rPr>
          <w:rFonts w:eastAsiaTheme="minorEastAsia"/>
          <w:kern w:val="0"/>
          <w:szCs w:val="24"/>
        </w:rPr>
        <w:t>(</w:t>
      </w:r>
      <w:r w:rsidR="00375991" w:rsidRPr="000A3C22">
        <w:rPr>
          <w:rFonts w:eastAsiaTheme="minorEastAsia"/>
          <w:kern w:val="0"/>
          <w:szCs w:val="24"/>
        </w:rPr>
        <w:t>实验经验值约为</w:t>
      </w:r>
      <w:r w:rsidR="00375991" w:rsidRPr="000A3C22">
        <w:rPr>
          <w:rFonts w:eastAsiaTheme="minorEastAsia"/>
          <w:kern w:val="0"/>
          <w:szCs w:val="24"/>
        </w:rPr>
        <w:t>0.001)</w:t>
      </w:r>
      <w:r w:rsidR="00375991" w:rsidRPr="000A3C22">
        <w:rPr>
          <w:rFonts w:eastAsiaTheme="minorEastAsia"/>
          <w:kern w:val="0"/>
          <w:szCs w:val="24"/>
        </w:rPr>
        <w:t>，</w:t>
      </w:r>
      <w:r w:rsidR="00375991" w:rsidRPr="000A3C22">
        <w:rPr>
          <w:rFonts w:eastAsiaTheme="minorEastAsia"/>
          <w:kern w:val="0"/>
          <w:szCs w:val="24"/>
        </w:rPr>
        <w:t>D</w:t>
      </w:r>
      <w:r w:rsidR="00375991" w:rsidRPr="000A3C22">
        <w:rPr>
          <w:rFonts w:eastAsiaTheme="minorEastAsia"/>
          <w:kern w:val="0"/>
          <w:szCs w:val="24"/>
        </w:rPr>
        <w:t>表示孔隙密度</w:t>
      </w:r>
      <w:r w:rsidR="00375991" w:rsidRPr="000A3C22">
        <w:rPr>
          <w:rFonts w:eastAsiaTheme="minorEastAsia"/>
          <w:kern w:val="0"/>
          <w:szCs w:val="24"/>
        </w:rPr>
        <w:t>(</w:t>
      </w:r>
      <w:r w:rsidR="00375991" w:rsidRPr="000A3C22">
        <w:rPr>
          <w:rFonts w:eastAsiaTheme="minorEastAsia"/>
          <w:kern w:val="0"/>
          <w:szCs w:val="24"/>
        </w:rPr>
        <w:t>单位为个</w:t>
      </w:r>
      <w:r w:rsidR="00375991" w:rsidRPr="000A3C22">
        <w:rPr>
          <w:rFonts w:eastAsiaTheme="minorEastAsia"/>
          <w:kern w:val="0"/>
          <w:szCs w:val="24"/>
        </w:rPr>
        <w:t>/</w:t>
      </w:r>
      <w:r w:rsidR="00375991" w:rsidRPr="000A3C22">
        <w:rPr>
          <w:rFonts w:eastAsiaTheme="minorEastAsia"/>
          <w:kern w:val="0"/>
          <w:szCs w:val="24"/>
        </w:rPr>
        <w:t>万孔</w:t>
      </w:r>
      <w:r w:rsidR="00375991" w:rsidRPr="000A3C22">
        <w:rPr>
          <w:rFonts w:eastAsiaTheme="minorEastAsia"/>
          <w:kern w:val="0"/>
          <w:szCs w:val="24"/>
        </w:rPr>
        <w:t>)</w:t>
      </w:r>
      <w:r w:rsidR="00375991" w:rsidRPr="000A3C22">
        <w:rPr>
          <w:rFonts w:eastAsiaTheme="minorEastAsia"/>
          <w:kern w:val="0"/>
          <w:szCs w:val="24"/>
        </w:rPr>
        <w:t>，</w:t>
      </w:r>
      <w:r w:rsidR="00375991" w:rsidRPr="000A3C22">
        <w:rPr>
          <w:rFonts w:eastAsiaTheme="minorEastAsia"/>
          <w:kern w:val="0"/>
          <w:szCs w:val="24"/>
        </w:rPr>
        <w:t>N</w:t>
      </w:r>
      <w:r w:rsidR="00375991" w:rsidRPr="000A3C22">
        <w:rPr>
          <w:rFonts w:eastAsiaTheme="minorEastAsia"/>
          <w:kern w:val="0"/>
          <w:szCs w:val="24"/>
        </w:rPr>
        <w:t>表示单芯片</w:t>
      </w:r>
      <w:r w:rsidR="00375991" w:rsidRPr="000A3C22">
        <w:rPr>
          <w:rFonts w:eastAsiaTheme="minorEastAsia"/>
          <w:kern w:val="0"/>
          <w:szCs w:val="24"/>
        </w:rPr>
        <w:t>TSV</w:t>
      </w:r>
      <w:r w:rsidR="00375991" w:rsidRPr="000A3C22">
        <w:rPr>
          <w:rFonts w:eastAsiaTheme="minorEastAsia"/>
          <w:kern w:val="0"/>
          <w:szCs w:val="24"/>
        </w:rPr>
        <w:t>数量。当</w:t>
      </w:r>
      <w:r w:rsidR="00375991" w:rsidRPr="000A3C22">
        <w:rPr>
          <w:rFonts w:eastAsiaTheme="minorEastAsia"/>
          <w:kern w:val="0"/>
          <w:szCs w:val="24"/>
        </w:rPr>
        <w:t>D=3</w:t>
      </w:r>
      <w:r w:rsidR="00375991" w:rsidRPr="000A3C22">
        <w:rPr>
          <w:rFonts w:eastAsiaTheme="minorEastAsia"/>
          <w:kern w:val="0"/>
          <w:szCs w:val="24"/>
        </w:rPr>
        <w:t>，</w:t>
      </w:r>
      <w:r w:rsidR="00375991" w:rsidRPr="000A3C22">
        <w:rPr>
          <w:rFonts w:eastAsiaTheme="minorEastAsia"/>
          <w:kern w:val="0"/>
          <w:szCs w:val="24"/>
        </w:rPr>
        <w:t>N=10000</w:t>
      </w:r>
      <w:r w:rsidR="00375991" w:rsidRPr="000A3C22">
        <w:rPr>
          <w:rFonts w:eastAsiaTheme="minorEastAsia"/>
          <w:kern w:val="0"/>
          <w:szCs w:val="24"/>
        </w:rPr>
        <w:t>孔，可以得到失效概率约</w:t>
      </w:r>
      <w:r w:rsidR="00375991" w:rsidRPr="000A3C22">
        <w:rPr>
          <w:rFonts w:eastAsiaTheme="minorEastAsia"/>
          <w:kern w:val="0"/>
          <w:szCs w:val="24"/>
        </w:rPr>
        <w:t>0.03</w:t>
      </w:r>
      <w:r w:rsidR="00375991" w:rsidRPr="000A3C22">
        <w:rPr>
          <w:rFonts w:eastAsiaTheme="minorEastAsia"/>
          <w:kern w:val="0"/>
          <w:szCs w:val="24"/>
        </w:rPr>
        <w:t>，符合了消费电子</w:t>
      </w:r>
      <w:r w:rsidR="00375991" w:rsidRPr="000A3C22">
        <w:rPr>
          <w:rFonts w:eastAsiaTheme="minorEastAsia"/>
          <w:kern w:val="0"/>
          <w:szCs w:val="24"/>
        </w:rPr>
        <w:t>98%</w:t>
      </w:r>
      <w:r w:rsidR="00375991" w:rsidRPr="000A3C22">
        <w:rPr>
          <w:rFonts w:eastAsiaTheme="minorEastAsia"/>
          <w:kern w:val="0"/>
          <w:szCs w:val="24"/>
        </w:rPr>
        <w:t>的良率要求。</w:t>
      </w:r>
    </w:p>
    <w:p w14:paraId="1C81EAD4" w14:textId="49F7D23A" w:rsidR="00375991" w:rsidRPr="000A3C22" w:rsidRDefault="00C33002" w:rsidP="00375991">
      <w:pPr>
        <w:pStyle w:val="aff4"/>
        <w:widowControl/>
        <w:spacing w:line="360" w:lineRule="auto"/>
        <w:jc w:val="center"/>
        <w:rPr>
          <w:rFonts w:eastAsiaTheme="minorEastAsia"/>
          <w:kern w:val="0"/>
          <w:szCs w:val="24"/>
        </w:rPr>
      </w:pPr>
      <w:r w:rsidRPr="000A3C22">
        <w:rPr>
          <w:rFonts w:eastAsiaTheme="minorEastAsia"/>
          <w:noProof/>
          <w:kern w:val="0"/>
          <w:szCs w:val="24"/>
        </w:rPr>
        <w:drawing>
          <wp:inline distT="0" distB="0" distL="0" distR="0" wp14:anchorId="548A44CC" wp14:editId="2CEA8973">
            <wp:extent cx="1323370" cy="3019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80855" cy="315040"/>
                    </a:xfrm>
                    <a:prstGeom prst="rect">
                      <a:avLst/>
                    </a:prstGeom>
                  </pic:spPr>
                </pic:pic>
              </a:graphicData>
            </a:graphic>
          </wp:inline>
        </w:drawing>
      </w:r>
    </w:p>
    <w:p w14:paraId="75873169" w14:textId="7272F77F" w:rsidR="00375991" w:rsidRPr="000A3C22" w:rsidRDefault="00375991" w:rsidP="00375991">
      <w:pPr>
        <w:pStyle w:val="aff4"/>
        <w:widowControl/>
        <w:spacing w:line="360" w:lineRule="auto"/>
        <w:ind w:firstLineChars="200" w:firstLine="480"/>
        <w:rPr>
          <w:rFonts w:eastAsiaTheme="minorEastAsia"/>
          <w:kern w:val="0"/>
          <w:szCs w:val="24"/>
        </w:rPr>
      </w:pPr>
      <w:r w:rsidRPr="000A3C22">
        <w:rPr>
          <w:rFonts w:eastAsiaTheme="minorEastAsia" w:hint="eastAsia"/>
          <w:kern w:val="0"/>
          <w:szCs w:val="24"/>
        </w:rPr>
        <w:t>另外，</w:t>
      </w:r>
      <w:r w:rsidRPr="000A3C22">
        <w:rPr>
          <w:rFonts w:eastAsiaTheme="minorEastAsia" w:hint="eastAsia"/>
          <w:kern w:val="0"/>
          <w:szCs w:val="24"/>
        </w:rPr>
        <w:t>TSV</w:t>
      </w:r>
      <w:r w:rsidRPr="000A3C22">
        <w:rPr>
          <w:rFonts w:eastAsiaTheme="minorEastAsia" w:hint="eastAsia"/>
          <w:kern w:val="0"/>
          <w:szCs w:val="24"/>
        </w:rPr>
        <w:t>电镀填充</w:t>
      </w:r>
      <w:proofErr w:type="gramStart"/>
      <w:r w:rsidRPr="000A3C22">
        <w:rPr>
          <w:rFonts w:eastAsiaTheme="minorEastAsia" w:hint="eastAsia"/>
          <w:kern w:val="0"/>
          <w:szCs w:val="24"/>
        </w:rPr>
        <w:t>不</w:t>
      </w:r>
      <w:proofErr w:type="gramEnd"/>
      <w:r w:rsidRPr="000A3C22">
        <w:rPr>
          <w:rFonts w:eastAsiaTheme="minorEastAsia" w:hint="eastAsia"/>
          <w:kern w:val="0"/>
          <w:szCs w:val="24"/>
        </w:rPr>
        <w:t>均匀度会导致电阻差异，进而影响信号延迟性能。根据相关文献报道的实验数据，当</w:t>
      </w:r>
      <w:r w:rsidRPr="000A3C22">
        <w:rPr>
          <w:rFonts w:eastAsiaTheme="minorEastAsia" w:hint="eastAsia"/>
          <w:kern w:val="0"/>
          <w:szCs w:val="24"/>
        </w:rPr>
        <w:t>TSV</w:t>
      </w:r>
      <w:r w:rsidRPr="000A3C22">
        <w:rPr>
          <w:rFonts w:eastAsiaTheme="minorEastAsia" w:hint="eastAsia"/>
          <w:kern w:val="0"/>
          <w:szCs w:val="24"/>
        </w:rPr>
        <w:t>填充</w:t>
      </w:r>
      <w:proofErr w:type="gramStart"/>
      <w:r w:rsidRPr="000A3C22">
        <w:rPr>
          <w:rFonts w:eastAsiaTheme="minorEastAsia" w:hint="eastAsia"/>
          <w:kern w:val="0"/>
          <w:szCs w:val="24"/>
        </w:rPr>
        <w:t>不</w:t>
      </w:r>
      <w:proofErr w:type="gramEnd"/>
      <w:r w:rsidRPr="000A3C22">
        <w:rPr>
          <w:rFonts w:eastAsiaTheme="minorEastAsia" w:hint="eastAsia"/>
          <w:kern w:val="0"/>
          <w:szCs w:val="24"/>
        </w:rPr>
        <w:t>均匀度达到</w:t>
      </w:r>
      <w:r w:rsidRPr="000A3C22">
        <w:rPr>
          <w:rFonts w:eastAsiaTheme="minorEastAsia" w:hint="eastAsia"/>
          <w:kern w:val="0"/>
          <w:szCs w:val="24"/>
        </w:rPr>
        <w:t>5%</w:t>
      </w:r>
      <w:r w:rsidRPr="000A3C22">
        <w:rPr>
          <w:rFonts w:eastAsiaTheme="minorEastAsia" w:hint="eastAsia"/>
          <w:kern w:val="0"/>
          <w:szCs w:val="24"/>
        </w:rPr>
        <w:t>时，引入的电阻差异≤</w:t>
      </w:r>
      <w:r w:rsidRPr="000A3C22">
        <w:rPr>
          <w:rFonts w:eastAsiaTheme="minorEastAsia" w:hint="eastAsia"/>
          <w:kern w:val="0"/>
          <w:szCs w:val="24"/>
        </w:rPr>
        <w:t>1%</w:t>
      </w:r>
      <w:r w:rsidRPr="000A3C22">
        <w:rPr>
          <w:rFonts w:eastAsiaTheme="minorEastAsia" w:hint="eastAsia"/>
          <w:kern w:val="0"/>
          <w:szCs w:val="24"/>
        </w:rPr>
        <w:t>，导致的信号延迟增加≤</w:t>
      </w:r>
      <w:r w:rsidRPr="000A3C22">
        <w:rPr>
          <w:rFonts w:eastAsiaTheme="minorEastAsia" w:hint="eastAsia"/>
          <w:kern w:val="0"/>
          <w:szCs w:val="24"/>
        </w:rPr>
        <w:t>0.1ps</w:t>
      </w:r>
      <w:r w:rsidRPr="000A3C22">
        <w:rPr>
          <w:rFonts w:eastAsiaTheme="minorEastAsia" w:hint="eastAsia"/>
          <w:kern w:val="0"/>
          <w:szCs w:val="24"/>
        </w:rPr>
        <w:t>；而当</w:t>
      </w:r>
      <w:r w:rsidRPr="000A3C22">
        <w:rPr>
          <w:rFonts w:eastAsiaTheme="minorEastAsia" w:hint="eastAsia"/>
          <w:kern w:val="0"/>
          <w:szCs w:val="24"/>
        </w:rPr>
        <w:t>TSV</w:t>
      </w:r>
      <w:r w:rsidRPr="000A3C22">
        <w:rPr>
          <w:rFonts w:eastAsiaTheme="minorEastAsia" w:hint="eastAsia"/>
          <w:kern w:val="0"/>
          <w:szCs w:val="24"/>
        </w:rPr>
        <w:t>填充</w:t>
      </w:r>
      <w:proofErr w:type="gramStart"/>
      <w:r w:rsidRPr="000A3C22">
        <w:rPr>
          <w:rFonts w:eastAsiaTheme="minorEastAsia" w:hint="eastAsia"/>
          <w:kern w:val="0"/>
          <w:szCs w:val="24"/>
        </w:rPr>
        <w:t>不</w:t>
      </w:r>
      <w:proofErr w:type="gramEnd"/>
      <w:r w:rsidRPr="000A3C22">
        <w:rPr>
          <w:rFonts w:eastAsiaTheme="minorEastAsia" w:hint="eastAsia"/>
          <w:kern w:val="0"/>
          <w:szCs w:val="24"/>
        </w:rPr>
        <w:t>均匀度达到</w:t>
      </w:r>
      <w:r w:rsidRPr="000A3C22">
        <w:rPr>
          <w:rFonts w:eastAsiaTheme="minorEastAsia" w:hint="eastAsia"/>
          <w:kern w:val="0"/>
          <w:szCs w:val="24"/>
        </w:rPr>
        <w:t>10%</w:t>
      </w:r>
      <w:r w:rsidRPr="000A3C22">
        <w:rPr>
          <w:rFonts w:eastAsiaTheme="minorEastAsia" w:hint="eastAsia"/>
          <w:kern w:val="0"/>
          <w:szCs w:val="24"/>
        </w:rPr>
        <w:t>时，引入的电阻差异≤</w:t>
      </w:r>
      <w:r w:rsidRPr="000A3C22">
        <w:rPr>
          <w:rFonts w:eastAsiaTheme="minorEastAsia" w:hint="eastAsia"/>
          <w:kern w:val="0"/>
          <w:szCs w:val="24"/>
        </w:rPr>
        <w:t>3%</w:t>
      </w:r>
      <w:r w:rsidRPr="000A3C22">
        <w:rPr>
          <w:rFonts w:eastAsiaTheme="minorEastAsia" w:hint="eastAsia"/>
          <w:kern w:val="0"/>
          <w:szCs w:val="24"/>
        </w:rPr>
        <w:t>，导致的信号延迟增加≤</w:t>
      </w:r>
      <w:r w:rsidRPr="000A3C22">
        <w:rPr>
          <w:rFonts w:eastAsiaTheme="minorEastAsia" w:hint="eastAsia"/>
          <w:kern w:val="0"/>
          <w:szCs w:val="24"/>
        </w:rPr>
        <w:t>0.3ps</w:t>
      </w:r>
      <w:r w:rsidRPr="000A3C22">
        <w:rPr>
          <w:rFonts w:eastAsiaTheme="minorEastAsia" w:hint="eastAsia"/>
          <w:kern w:val="0"/>
          <w:szCs w:val="24"/>
        </w:rPr>
        <w:t>；当</w:t>
      </w:r>
      <w:r w:rsidRPr="000A3C22">
        <w:rPr>
          <w:rFonts w:eastAsiaTheme="minorEastAsia" w:hint="eastAsia"/>
          <w:kern w:val="0"/>
          <w:szCs w:val="24"/>
        </w:rPr>
        <w:t>TSV</w:t>
      </w:r>
      <w:r w:rsidRPr="000A3C22">
        <w:rPr>
          <w:rFonts w:eastAsiaTheme="minorEastAsia" w:hint="eastAsia"/>
          <w:kern w:val="0"/>
          <w:szCs w:val="24"/>
        </w:rPr>
        <w:t>填充</w:t>
      </w:r>
      <w:proofErr w:type="gramStart"/>
      <w:r w:rsidRPr="000A3C22">
        <w:rPr>
          <w:rFonts w:eastAsiaTheme="minorEastAsia" w:hint="eastAsia"/>
          <w:kern w:val="0"/>
          <w:szCs w:val="24"/>
        </w:rPr>
        <w:t>不</w:t>
      </w:r>
      <w:proofErr w:type="gramEnd"/>
      <w:r w:rsidRPr="000A3C22">
        <w:rPr>
          <w:rFonts w:eastAsiaTheme="minorEastAsia" w:hint="eastAsia"/>
          <w:kern w:val="0"/>
          <w:szCs w:val="24"/>
        </w:rPr>
        <w:t>均匀度达到</w:t>
      </w:r>
      <w:r w:rsidRPr="000A3C22">
        <w:rPr>
          <w:rFonts w:eastAsiaTheme="minorEastAsia" w:hint="eastAsia"/>
          <w:kern w:val="0"/>
          <w:szCs w:val="24"/>
        </w:rPr>
        <w:t>15%</w:t>
      </w:r>
      <w:r w:rsidRPr="000A3C22">
        <w:rPr>
          <w:rFonts w:eastAsiaTheme="minorEastAsia" w:hint="eastAsia"/>
          <w:kern w:val="0"/>
          <w:szCs w:val="24"/>
        </w:rPr>
        <w:t>时，引入的电阻差异≤</w:t>
      </w:r>
      <w:r w:rsidRPr="000A3C22">
        <w:rPr>
          <w:rFonts w:eastAsiaTheme="minorEastAsia" w:hint="eastAsia"/>
          <w:kern w:val="0"/>
          <w:szCs w:val="24"/>
        </w:rPr>
        <w:t>8%</w:t>
      </w:r>
      <w:r w:rsidRPr="000A3C22">
        <w:rPr>
          <w:rFonts w:eastAsiaTheme="minorEastAsia" w:hint="eastAsia"/>
          <w:kern w:val="0"/>
          <w:szCs w:val="24"/>
        </w:rPr>
        <w:t>，导致的信号延迟增加≥</w:t>
      </w:r>
      <w:r w:rsidRPr="000A3C22">
        <w:rPr>
          <w:rFonts w:eastAsiaTheme="minorEastAsia" w:hint="eastAsia"/>
          <w:kern w:val="0"/>
          <w:szCs w:val="24"/>
        </w:rPr>
        <w:t>1.0ps</w:t>
      </w:r>
      <w:r w:rsidRPr="000A3C22">
        <w:rPr>
          <w:rFonts w:eastAsiaTheme="minorEastAsia" w:hint="eastAsia"/>
          <w:kern w:val="0"/>
          <w:szCs w:val="24"/>
        </w:rPr>
        <w:t>。本标准规定</w:t>
      </w:r>
      <w:r w:rsidRPr="000A3C22">
        <w:rPr>
          <w:rFonts w:eastAsiaTheme="minorEastAsia" w:hint="eastAsia"/>
          <w:kern w:val="0"/>
          <w:szCs w:val="24"/>
        </w:rPr>
        <w:t>TSV</w:t>
      </w:r>
      <w:r w:rsidRPr="000A3C22">
        <w:rPr>
          <w:rFonts w:eastAsiaTheme="minorEastAsia" w:hint="eastAsia"/>
          <w:kern w:val="0"/>
          <w:szCs w:val="24"/>
        </w:rPr>
        <w:t>填充</w:t>
      </w:r>
      <w:proofErr w:type="gramStart"/>
      <w:r w:rsidRPr="000A3C22">
        <w:rPr>
          <w:rFonts w:eastAsiaTheme="minorEastAsia" w:hint="eastAsia"/>
          <w:kern w:val="0"/>
          <w:szCs w:val="24"/>
        </w:rPr>
        <w:t>不</w:t>
      </w:r>
      <w:proofErr w:type="gramEnd"/>
      <w:r w:rsidRPr="000A3C22">
        <w:rPr>
          <w:rFonts w:eastAsiaTheme="minorEastAsia" w:hint="eastAsia"/>
          <w:kern w:val="0"/>
          <w:szCs w:val="24"/>
        </w:rPr>
        <w:t>均匀度验收阈值≤</w:t>
      </w:r>
      <w:r w:rsidRPr="000A3C22">
        <w:rPr>
          <w:rFonts w:eastAsiaTheme="minorEastAsia" w:hint="eastAsia"/>
          <w:kern w:val="0"/>
          <w:szCs w:val="24"/>
        </w:rPr>
        <w:t>10%</w:t>
      </w:r>
      <w:r w:rsidRPr="000A3C22">
        <w:rPr>
          <w:rFonts w:eastAsiaTheme="minorEastAsia" w:hint="eastAsia"/>
          <w:kern w:val="0"/>
          <w:szCs w:val="24"/>
        </w:rPr>
        <w:t>，满足了</w:t>
      </w:r>
      <w:r w:rsidRPr="000A3C22">
        <w:rPr>
          <w:rFonts w:eastAsiaTheme="minorEastAsia" w:hint="eastAsia"/>
          <w:kern w:val="0"/>
          <w:szCs w:val="24"/>
        </w:rPr>
        <w:t>5Gbps</w:t>
      </w:r>
      <w:r w:rsidRPr="000A3C22">
        <w:rPr>
          <w:rFonts w:eastAsiaTheme="minorEastAsia" w:hint="eastAsia"/>
          <w:kern w:val="0"/>
          <w:szCs w:val="24"/>
        </w:rPr>
        <w:t>高速互连要求。</w:t>
      </w:r>
    </w:p>
    <w:p w14:paraId="20AEE689" w14:textId="77777777" w:rsidR="00C1581F" w:rsidRPr="000A3C22" w:rsidRDefault="004C194B">
      <w:pPr>
        <w:pStyle w:val="affa"/>
        <w:numPr>
          <w:ilvl w:val="0"/>
          <w:numId w:val="16"/>
        </w:numPr>
        <w:spacing w:beforeLines="50" w:before="156" w:afterLines="50" w:after="156" w:line="360" w:lineRule="auto"/>
        <w:ind w:left="839" w:firstLineChars="0"/>
        <w:jc w:val="left"/>
        <w:rPr>
          <w:rFonts w:asciiTheme="minorEastAsia" w:eastAsiaTheme="minorEastAsia" w:hAnsiTheme="minorEastAsia" w:cs="宋体"/>
          <w:b/>
          <w:bCs/>
          <w:kern w:val="0"/>
          <w:sz w:val="24"/>
          <w:szCs w:val="24"/>
        </w:rPr>
      </w:pPr>
      <w:r w:rsidRPr="000A3C22">
        <w:rPr>
          <w:rFonts w:asciiTheme="minorEastAsia" w:eastAsiaTheme="minorEastAsia" w:hAnsiTheme="minorEastAsia" w:cs="宋体" w:hint="eastAsia"/>
          <w:b/>
          <w:bCs/>
          <w:kern w:val="0"/>
          <w:sz w:val="24"/>
          <w:szCs w:val="24"/>
        </w:rPr>
        <w:t>硅通孔缺陷定义与分类</w:t>
      </w:r>
    </w:p>
    <w:p w14:paraId="70CEDA54" w14:textId="77777777" w:rsidR="00C1581F" w:rsidRPr="000A3C22" w:rsidRDefault="004C194B">
      <w:pPr>
        <w:pStyle w:val="aff4"/>
        <w:widowControl/>
        <w:spacing w:line="360" w:lineRule="auto"/>
        <w:ind w:firstLineChars="200" w:firstLine="480"/>
        <w:rPr>
          <w:rFonts w:asciiTheme="minorEastAsia" w:eastAsiaTheme="minorEastAsia" w:hAnsiTheme="minorEastAsia" w:cs="宋体"/>
          <w:kern w:val="0"/>
          <w:szCs w:val="24"/>
        </w:rPr>
      </w:pPr>
      <w:r w:rsidRPr="000A3C22">
        <w:rPr>
          <w:rFonts w:asciiTheme="minorEastAsia" w:eastAsiaTheme="minorEastAsia" w:hAnsiTheme="minorEastAsia" w:cs="宋体" w:hint="eastAsia"/>
          <w:kern w:val="0"/>
          <w:szCs w:val="24"/>
        </w:rPr>
        <w:t>基于TSV电镀的电性失效模式，本规范明确定义了以下可检测缺陷类型。主要包括空洞型缺陷和界面缺陷。其中，空洞型缺陷又可细分为微孔洞、中心缩孔、夹渣孔隙；界面缺陷由可进一步细分为孔壁剥离、层间分离和填充不足。对于微孔洞，主要是直径≥0.8μm的球形或者</w:t>
      </w:r>
      <w:proofErr w:type="gramStart"/>
      <w:r w:rsidRPr="000A3C22">
        <w:rPr>
          <w:rFonts w:asciiTheme="minorEastAsia" w:eastAsiaTheme="minorEastAsia" w:hAnsiTheme="minorEastAsia" w:cs="宋体" w:hint="eastAsia"/>
          <w:kern w:val="0"/>
          <w:szCs w:val="24"/>
        </w:rPr>
        <w:t>椭球形低密度</w:t>
      </w:r>
      <w:proofErr w:type="gramEnd"/>
      <w:r w:rsidRPr="000A3C22">
        <w:rPr>
          <w:rFonts w:asciiTheme="minorEastAsia" w:eastAsiaTheme="minorEastAsia" w:hAnsiTheme="minorEastAsia" w:cs="宋体" w:hint="eastAsia"/>
          <w:kern w:val="0"/>
          <w:szCs w:val="24"/>
        </w:rPr>
        <w:t>区；对于中心缩孔，主要是沿TSV轴线分布的长径比＞5：1的管状低密度区；对于孔壁剥离，主要是TSV侧壁与硅基板之间厚度≥0.2μm的连续低密度带；对于层间分离，主要是电镀层间的分层现象，一般是呈环形对称分布；对于填充不足，主要指深宽比＞0.1：1的TSV顶部凹陷。</w:t>
      </w:r>
    </w:p>
    <w:p w14:paraId="4A9AAA12" w14:textId="77777777" w:rsidR="00C1581F" w:rsidRPr="000A3C22" w:rsidRDefault="00C1581F">
      <w:pPr>
        <w:pStyle w:val="aff4"/>
        <w:widowControl/>
        <w:spacing w:line="360" w:lineRule="auto"/>
        <w:ind w:left="419"/>
        <w:rPr>
          <w:rFonts w:asciiTheme="minorEastAsia" w:eastAsiaTheme="minorEastAsia" w:hAnsiTheme="minorEastAsia" w:cs="宋体"/>
          <w:kern w:val="0"/>
          <w:szCs w:val="24"/>
        </w:rPr>
      </w:pPr>
    </w:p>
    <w:p w14:paraId="2A7B6190" w14:textId="77777777" w:rsidR="00C1581F" w:rsidRPr="000A3C22" w:rsidRDefault="004C194B">
      <w:pPr>
        <w:pStyle w:val="aff4"/>
        <w:widowControl/>
        <w:spacing w:line="360" w:lineRule="auto"/>
        <w:rPr>
          <w:rFonts w:asciiTheme="minorEastAsia" w:eastAsiaTheme="minorEastAsia" w:hAnsiTheme="minorEastAsia"/>
          <w:b/>
          <w:szCs w:val="24"/>
        </w:rPr>
      </w:pPr>
      <w:r w:rsidRPr="000A3C22">
        <w:rPr>
          <w:rFonts w:asciiTheme="minorEastAsia" w:eastAsiaTheme="minorEastAsia" w:hAnsiTheme="minorEastAsia" w:hint="eastAsia"/>
          <w:b/>
          <w:szCs w:val="24"/>
        </w:rPr>
        <w:t>五、本标准的主要技术内容说明</w:t>
      </w:r>
    </w:p>
    <w:p w14:paraId="5A5A8FCD" w14:textId="77777777" w:rsidR="00C1581F" w:rsidRPr="000A3C22" w:rsidRDefault="004C194B">
      <w:pPr>
        <w:autoSpaceDE w:val="0"/>
        <w:autoSpaceDN w:val="0"/>
        <w:adjustRightInd w:val="0"/>
        <w:spacing w:line="360" w:lineRule="auto"/>
        <w:ind w:firstLineChars="200" w:firstLine="480"/>
        <w:jc w:val="left"/>
        <w:rPr>
          <w:rFonts w:asciiTheme="minorEastAsia" w:eastAsiaTheme="minorEastAsia" w:hAnsiTheme="minorEastAsia" w:cs="宋体"/>
          <w:kern w:val="0"/>
          <w:sz w:val="24"/>
          <w:szCs w:val="24"/>
        </w:rPr>
      </w:pPr>
      <w:r w:rsidRPr="000A3C22">
        <w:rPr>
          <w:rFonts w:asciiTheme="minorEastAsia" w:eastAsiaTheme="minorEastAsia" w:hAnsiTheme="minorEastAsia" w:cs="宋体" w:hint="eastAsia"/>
          <w:kern w:val="0"/>
          <w:sz w:val="24"/>
          <w:szCs w:val="24"/>
        </w:rPr>
        <w:lastRenderedPageBreak/>
        <w:t>本标准按照我国集成电路先进封装的实际情况制定，综合考虑了主要生产企业及应用单位的现行规范。本标准的主要技术内容说明如下：</w:t>
      </w:r>
    </w:p>
    <w:p w14:paraId="5F4B980B" w14:textId="77777777" w:rsidR="00C1581F" w:rsidRPr="000A3C22" w:rsidRDefault="00C1581F">
      <w:pPr>
        <w:pStyle w:val="affa"/>
        <w:numPr>
          <w:ilvl w:val="0"/>
          <w:numId w:val="17"/>
        </w:numPr>
        <w:spacing w:line="360" w:lineRule="auto"/>
        <w:ind w:firstLineChars="0"/>
        <w:jc w:val="left"/>
        <w:rPr>
          <w:rFonts w:asciiTheme="minorEastAsia" w:eastAsiaTheme="minorEastAsia" w:hAnsiTheme="minorEastAsia"/>
          <w:b/>
          <w:vanish/>
          <w:sz w:val="24"/>
          <w:szCs w:val="24"/>
        </w:rPr>
      </w:pPr>
    </w:p>
    <w:p w14:paraId="7214BF66" w14:textId="77777777" w:rsidR="00C1581F" w:rsidRPr="000A3C22" w:rsidRDefault="00C1581F">
      <w:pPr>
        <w:pStyle w:val="affa"/>
        <w:numPr>
          <w:ilvl w:val="0"/>
          <w:numId w:val="17"/>
        </w:numPr>
        <w:spacing w:line="360" w:lineRule="auto"/>
        <w:ind w:firstLineChars="0"/>
        <w:jc w:val="left"/>
        <w:rPr>
          <w:rFonts w:asciiTheme="minorEastAsia" w:eastAsiaTheme="minorEastAsia" w:hAnsiTheme="minorEastAsia"/>
          <w:b/>
          <w:vanish/>
          <w:sz w:val="24"/>
          <w:szCs w:val="24"/>
        </w:rPr>
      </w:pPr>
    </w:p>
    <w:p w14:paraId="13075682" w14:textId="60405690" w:rsidR="009D03D1" w:rsidRPr="000A3C22" w:rsidRDefault="009D03D1" w:rsidP="009D03D1">
      <w:pPr>
        <w:pStyle w:val="affa"/>
        <w:numPr>
          <w:ilvl w:val="0"/>
          <w:numId w:val="18"/>
        </w:numPr>
        <w:spacing w:line="360" w:lineRule="auto"/>
        <w:ind w:firstLineChars="0"/>
        <w:jc w:val="left"/>
        <w:rPr>
          <w:rFonts w:ascii="宋体"/>
          <w:kern w:val="0"/>
          <w:sz w:val="24"/>
          <w:szCs w:val="24"/>
        </w:rPr>
      </w:pPr>
      <w:r w:rsidRPr="000A3C22">
        <w:rPr>
          <w:rFonts w:ascii="宋体" w:hint="eastAsia"/>
          <w:kern w:val="0"/>
          <w:sz w:val="24"/>
          <w:szCs w:val="24"/>
        </w:rPr>
        <w:t>针对TSV电镀质量无损检测的不同适应场景，提出了与SEMI MF2912兼容的三级检测等级，即适应工艺开发的Class A、适应量产监控的Class B和适应快速筛查的Class C</w:t>
      </w:r>
      <w:r w:rsidR="008F6D98" w:rsidRPr="000A3C22">
        <w:rPr>
          <w:rFonts w:ascii="宋体" w:hint="eastAsia"/>
          <w:kern w:val="0"/>
          <w:sz w:val="24"/>
          <w:szCs w:val="24"/>
        </w:rPr>
        <w:t>；</w:t>
      </w:r>
    </w:p>
    <w:p w14:paraId="34EC0EB0" w14:textId="6087D164" w:rsidR="008F6D98" w:rsidRPr="000A3C22" w:rsidRDefault="008F6D98" w:rsidP="000A3C22">
      <w:pPr>
        <w:pStyle w:val="affa"/>
        <w:numPr>
          <w:ilvl w:val="0"/>
          <w:numId w:val="18"/>
        </w:numPr>
        <w:spacing w:line="360" w:lineRule="auto"/>
        <w:ind w:firstLineChars="0"/>
        <w:jc w:val="left"/>
        <w:rPr>
          <w:rFonts w:ascii="宋体"/>
          <w:kern w:val="0"/>
          <w:sz w:val="24"/>
          <w:szCs w:val="24"/>
        </w:rPr>
      </w:pPr>
      <w:r w:rsidRPr="000A3C22">
        <w:rPr>
          <w:rFonts w:ascii="宋体" w:hint="eastAsia"/>
          <w:kern w:val="0"/>
          <w:sz w:val="24"/>
          <w:szCs w:val="24"/>
        </w:rPr>
        <w:t>针对不同检测等级，</w:t>
      </w:r>
      <w:r w:rsidR="009D03D1" w:rsidRPr="000A3C22">
        <w:rPr>
          <w:rFonts w:ascii="宋体" w:hint="eastAsia"/>
          <w:kern w:val="0"/>
          <w:sz w:val="24"/>
          <w:szCs w:val="24"/>
        </w:rPr>
        <w:t>对CT设备的性能，如空间分辨率、密度分辨率、扫描效率等提出了具体要求。</w:t>
      </w:r>
      <w:r w:rsidR="000A3C22" w:rsidRPr="000A3C22">
        <w:rPr>
          <w:rFonts w:ascii="宋体" w:hint="eastAsia"/>
          <w:kern w:val="0"/>
          <w:sz w:val="24"/>
          <w:szCs w:val="24"/>
        </w:rPr>
        <w:t>其中，对于Class A级，要求CT设备的空间分辨率、密度分辨率、扫描效率分别达到≤0.5μm、≤0.5%和≤10min/芯片；而对于Class B级，要求CT设备的空间分辨率、密度分辨率、扫描效率分别达到≤1.0μm、≤1.0%和≤5min/芯片；对于Class C级，要求CT设备的空间分辨率、密度分辨率、扫描效率分别达到≤2.0μm、≤2.0%和≤2min/芯片。</w:t>
      </w:r>
    </w:p>
    <w:p w14:paraId="53B5F126" w14:textId="4D4E7218" w:rsidR="000A3C22" w:rsidRPr="000A3C22" w:rsidRDefault="000A3C22" w:rsidP="000A3C22">
      <w:pPr>
        <w:pStyle w:val="affa"/>
        <w:numPr>
          <w:ilvl w:val="0"/>
          <w:numId w:val="18"/>
        </w:numPr>
        <w:spacing w:line="360" w:lineRule="auto"/>
        <w:ind w:firstLineChars="0"/>
        <w:jc w:val="left"/>
        <w:rPr>
          <w:rFonts w:ascii="宋体"/>
          <w:kern w:val="0"/>
          <w:sz w:val="24"/>
          <w:szCs w:val="24"/>
        </w:rPr>
      </w:pPr>
      <w:r w:rsidRPr="000A3C22">
        <w:rPr>
          <w:rFonts w:ascii="宋体" w:hint="eastAsia"/>
          <w:kern w:val="0"/>
          <w:sz w:val="24"/>
          <w:szCs w:val="24"/>
        </w:rPr>
        <w:t>针对样品制备与装夹、扫描参数设置、数据采集与重建、伪影抑制等均做了规范，提出了建议参数。</w:t>
      </w:r>
    </w:p>
    <w:p w14:paraId="0AEBEC96" w14:textId="3590AC1B" w:rsidR="000A3C22" w:rsidRPr="000A3C22" w:rsidRDefault="000A3C22" w:rsidP="000A3C22">
      <w:pPr>
        <w:pStyle w:val="affa"/>
        <w:numPr>
          <w:ilvl w:val="0"/>
          <w:numId w:val="18"/>
        </w:numPr>
        <w:spacing w:line="360" w:lineRule="auto"/>
        <w:ind w:firstLineChars="0"/>
        <w:jc w:val="left"/>
        <w:rPr>
          <w:rFonts w:ascii="宋体"/>
          <w:kern w:val="0"/>
          <w:sz w:val="24"/>
          <w:szCs w:val="24"/>
        </w:rPr>
      </w:pPr>
      <w:r w:rsidRPr="000A3C22">
        <w:rPr>
          <w:rFonts w:ascii="宋体" w:hint="eastAsia"/>
          <w:kern w:val="0"/>
          <w:sz w:val="24"/>
          <w:szCs w:val="24"/>
        </w:rPr>
        <w:t>建立了TSV电镀质量无损检测缺陷识别和质量评价体系，对TSV孔隙缺陷、填充</w:t>
      </w:r>
      <w:proofErr w:type="gramStart"/>
      <w:r w:rsidRPr="000A3C22">
        <w:rPr>
          <w:rFonts w:ascii="宋体" w:hint="eastAsia"/>
          <w:kern w:val="0"/>
          <w:sz w:val="24"/>
          <w:szCs w:val="24"/>
        </w:rPr>
        <w:t>不</w:t>
      </w:r>
      <w:proofErr w:type="gramEnd"/>
      <w:r w:rsidRPr="000A3C22">
        <w:rPr>
          <w:rFonts w:ascii="宋体" w:hint="eastAsia"/>
          <w:kern w:val="0"/>
          <w:sz w:val="24"/>
          <w:szCs w:val="24"/>
        </w:rPr>
        <w:t>均匀度、界面分层等做了标准化定义，并规定了相应的验收准则。</w:t>
      </w:r>
    </w:p>
    <w:p w14:paraId="0C43A8EF" w14:textId="48458F98" w:rsidR="00C1581F" w:rsidRDefault="000A3C22" w:rsidP="000A3C22">
      <w:pPr>
        <w:pStyle w:val="affa"/>
        <w:numPr>
          <w:ilvl w:val="0"/>
          <w:numId w:val="18"/>
        </w:numPr>
        <w:spacing w:line="360" w:lineRule="auto"/>
        <w:ind w:firstLineChars="0"/>
        <w:jc w:val="left"/>
        <w:rPr>
          <w:rFonts w:ascii="宋体"/>
          <w:kern w:val="0"/>
          <w:sz w:val="24"/>
          <w:szCs w:val="24"/>
        </w:rPr>
      </w:pPr>
      <w:r w:rsidRPr="000A3C22">
        <w:rPr>
          <w:rFonts w:ascii="宋体" w:hint="eastAsia"/>
          <w:kern w:val="0"/>
          <w:sz w:val="24"/>
          <w:szCs w:val="24"/>
        </w:rPr>
        <w:t>建立了TSV电镀质量无损检测数据完整性要求体系和存储规范，并给出了测试报告模版。</w:t>
      </w:r>
    </w:p>
    <w:p w14:paraId="2FA2A871" w14:textId="77777777" w:rsidR="004C194B" w:rsidRPr="000A3C22" w:rsidRDefault="004C194B" w:rsidP="004C194B">
      <w:pPr>
        <w:pStyle w:val="affa"/>
        <w:spacing w:line="360" w:lineRule="auto"/>
        <w:ind w:left="360" w:firstLineChars="0" w:firstLine="0"/>
        <w:jc w:val="left"/>
        <w:rPr>
          <w:rFonts w:ascii="宋体"/>
          <w:kern w:val="0"/>
          <w:sz w:val="24"/>
          <w:szCs w:val="24"/>
        </w:rPr>
      </w:pPr>
    </w:p>
    <w:p w14:paraId="1AB48722" w14:textId="77777777" w:rsidR="00C1581F" w:rsidRPr="000A3C22" w:rsidRDefault="004C194B">
      <w:pPr>
        <w:pStyle w:val="affa"/>
        <w:spacing w:line="360" w:lineRule="auto"/>
        <w:ind w:firstLineChars="0" w:firstLine="0"/>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六、采用国际标准和国外先进标准情况</w:t>
      </w:r>
    </w:p>
    <w:p w14:paraId="1AB0E092" w14:textId="21F9889F" w:rsidR="00C1581F" w:rsidRDefault="00F33887">
      <w:pPr>
        <w:tabs>
          <w:tab w:val="left" w:pos="0"/>
        </w:tabs>
        <w:spacing w:line="580" w:lineRule="exact"/>
        <w:ind w:firstLineChars="200" w:firstLine="480"/>
        <w:rPr>
          <w:rFonts w:hAnsi="宋体"/>
          <w:sz w:val="24"/>
          <w:szCs w:val="24"/>
        </w:rPr>
      </w:pPr>
      <w:r w:rsidRPr="000A3C22">
        <w:rPr>
          <w:rFonts w:hAnsi="宋体" w:hint="eastAsia"/>
          <w:sz w:val="24"/>
          <w:szCs w:val="24"/>
        </w:rPr>
        <w:t>针对</w:t>
      </w:r>
      <w:r w:rsidRPr="000A3C22">
        <w:rPr>
          <w:rFonts w:hAnsi="宋体" w:hint="eastAsia"/>
          <w:sz w:val="24"/>
          <w:szCs w:val="24"/>
        </w:rPr>
        <w:t>CT</w:t>
      </w:r>
      <w:r w:rsidRPr="000A3C22">
        <w:rPr>
          <w:rFonts w:hAnsi="宋体" w:hint="eastAsia"/>
          <w:sz w:val="24"/>
          <w:szCs w:val="24"/>
        </w:rPr>
        <w:t>设备的空间分辨率</w:t>
      </w:r>
      <w:r w:rsidR="001702D3" w:rsidRPr="000A3C22">
        <w:rPr>
          <w:rFonts w:hAnsi="宋体" w:hint="eastAsia"/>
          <w:sz w:val="24"/>
          <w:szCs w:val="24"/>
        </w:rPr>
        <w:t>要求，本标准规定，量产场景下，</w:t>
      </w:r>
      <w:r w:rsidR="001702D3" w:rsidRPr="000A3C22">
        <w:rPr>
          <w:rFonts w:hAnsi="宋体" w:hint="eastAsia"/>
          <w:sz w:val="24"/>
          <w:szCs w:val="24"/>
        </w:rPr>
        <w:t>CT</w:t>
      </w:r>
      <w:r w:rsidR="001702D3" w:rsidRPr="000A3C22">
        <w:rPr>
          <w:rFonts w:hAnsi="宋体" w:hint="eastAsia"/>
          <w:sz w:val="24"/>
          <w:szCs w:val="24"/>
        </w:rPr>
        <w:t>设备的空间分辨率需要达到≤</w:t>
      </w:r>
      <w:r w:rsidR="001702D3" w:rsidRPr="000A3C22">
        <w:rPr>
          <w:rFonts w:hAnsi="宋体" w:hint="eastAsia"/>
          <w:sz w:val="24"/>
          <w:szCs w:val="24"/>
        </w:rPr>
        <w:t>1.0</w:t>
      </w:r>
      <w:r w:rsidR="001702D3" w:rsidRPr="000A3C22">
        <w:rPr>
          <w:rFonts w:hAnsi="宋体" w:hint="eastAsia"/>
          <w:sz w:val="24"/>
          <w:szCs w:val="24"/>
        </w:rPr>
        <w:t>μ</w:t>
      </w:r>
      <w:r w:rsidR="001702D3" w:rsidRPr="000A3C22">
        <w:rPr>
          <w:rFonts w:hAnsi="宋体" w:hint="eastAsia"/>
          <w:sz w:val="24"/>
          <w:szCs w:val="24"/>
        </w:rPr>
        <w:t>m</w:t>
      </w:r>
      <w:r w:rsidR="001702D3" w:rsidRPr="000A3C22">
        <w:rPr>
          <w:rFonts w:hAnsi="宋体" w:hint="eastAsia"/>
          <w:sz w:val="24"/>
          <w:szCs w:val="24"/>
        </w:rPr>
        <w:t>，该指标和</w:t>
      </w:r>
      <w:r w:rsidR="001702D3" w:rsidRPr="000A3C22">
        <w:rPr>
          <w:rFonts w:hAnsi="宋体" w:hint="eastAsia"/>
          <w:sz w:val="24"/>
          <w:szCs w:val="24"/>
        </w:rPr>
        <w:t>SEMI MF2912-2023</w:t>
      </w:r>
      <w:r w:rsidR="001702D3" w:rsidRPr="000A3C22">
        <w:rPr>
          <w:rFonts w:hAnsi="宋体" w:hint="eastAsia"/>
          <w:sz w:val="24"/>
          <w:szCs w:val="24"/>
        </w:rPr>
        <w:t>对于</w:t>
      </w:r>
      <w:r w:rsidR="001702D3" w:rsidRPr="000A3C22">
        <w:rPr>
          <w:rFonts w:hAnsi="宋体" w:hint="eastAsia"/>
          <w:sz w:val="24"/>
          <w:szCs w:val="24"/>
        </w:rPr>
        <w:t>Class B</w:t>
      </w:r>
      <w:r w:rsidR="001702D3" w:rsidRPr="000A3C22">
        <w:rPr>
          <w:rFonts w:hAnsi="宋体" w:hint="eastAsia"/>
          <w:sz w:val="24"/>
          <w:szCs w:val="24"/>
        </w:rPr>
        <w:t>要求≤</w:t>
      </w:r>
      <w:r w:rsidR="001702D3" w:rsidRPr="000A3C22">
        <w:rPr>
          <w:rFonts w:hAnsi="宋体" w:hint="eastAsia"/>
          <w:sz w:val="24"/>
          <w:szCs w:val="24"/>
        </w:rPr>
        <w:t>1.0</w:t>
      </w:r>
      <w:r w:rsidR="001702D3" w:rsidRPr="000A3C22">
        <w:rPr>
          <w:rFonts w:hAnsi="宋体" w:hint="eastAsia"/>
          <w:sz w:val="24"/>
          <w:szCs w:val="24"/>
        </w:rPr>
        <w:t>μ</w:t>
      </w:r>
      <w:r w:rsidR="001702D3" w:rsidRPr="000A3C22">
        <w:rPr>
          <w:rFonts w:hAnsi="宋体" w:hint="eastAsia"/>
          <w:sz w:val="24"/>
          <w:szCs w:val="24"/>
        </w:rPr>
        <w:t>m</w:t>
      </w:r>
      <w:r w:rsidR="001702D3" w:rsidRPr="000A3C22">
        <w:rPr>
          <w:rFonts w:hAnsi="宋体" w:hint="eastAsia"/>
          <w:sz w:val="24"/>
          <w:szCs w:val="24"/>
        </w:rPr>
        <w:t>的标准对齐；针对</w:t>
      </w:r>
      <w:r w:rsidR="001702D3" w:rsidRPr="000A3C22">
        <w:rPr>
          <w:rFonts w:hAnsi="宋体" w:hint="eastAsia"/>
          <w:sz w:val="24"/>
          <w:szCs w:val="24"/>
        </w:rPr>
        <w:t>CT</w:t>
      </w:r>
      <w:r w:rsidR="001702D3" w:rsidRPr="000A3C22">
        <w:rPr>
          <w:rFonts w:hAnsi="宋体" w:hint="eastAsia"/>
          <w:sz w:val="24"/>
          <w:szCs w:val="24"/>
        </w:rPr>
        <w:t>设备的密度分辨率要求，本标准规定，量产场景下，</w:t>
      </w:r>
      <w:r w:rsidR="001702D3" w:rsidRPr="000A3C22">
        <w:rPr>
          <w:rFonts w:hAnsi="宋体" w:hint="eastAsia"/>
          <w:sz w:val="24"/>
          <w:szCs w:val="24"/>
        </w:rPr>
        <w:t>CT</w:t>
      </w:r>
      <w:r w:rsidR="001702D3" w:rsidRPr="000A3C22">
        <w:rPr>
          <w:rFonts w:hAnsi="宋体" w:hint="eastAsia"/>
          <w:sz w:val="24"/>
          <w:szCs w:val="24"/>
        </w:rPr>
        <w:t>设备的密度分辨率需要达到≤</w:t>
      </w:r>
      <w:r w:rsidR="001702D3" w:rsidRPr="000A3C22">
        <w:rPr>
          <w:rFonts w:hAnsi="宋体" w:hint="eastAsia"/>
          <w:sz w:val="24"/>
          <w:szCs w:val="24"/>
        </w:rPr>
        <w:t>1.0%</w:t>
      </w:r>
      <w:r w:rsidR="001702D3" w:rsidRPr="000A3C22">
        <w:rPr>
          <w:rFonts w:hAnsi="宋体" w:hint="eastAsia"/>
          <w:sz w:val="24"/>
          <w:szCs w:val="24"/>
        </w:rPr>
        <w:t>，该指标和</w:t>
      </w:r>
      <w:r w:rsidR="001702D3" w:rsidRPr="000A3C22">
        <w:rPr>
          <w:rFonts w:hAnsi="宋体" w:hint="eastAsia"/>
          <w:sz w:val="24"/>
          <w:szCs w:val="24"/>
        </w:rPr>
        <w:t>ASTM E1695-20</w:t>
      </w:r>
      <w:r w:rsidR="001702D3" w:rsidRPr="000A3C22">
        <w:rPr>
          <w:rFonts w:hAnsi="宋体" w:hint="eastAsia"/>
          <w:sz w:val="24"/>
          <w:szCs w:val="24"/>
        </w:rPr>
        <w:t>相关标准对齐；针对孔隙密度验收阈值，本标准设定≤</w:t>
      </w:r>
      <w:r w:rsidR="001702D3" w:rsidRPr="000A3C22">
        <w:rPr>
          <w:rFonts w:hAnsi="宋体" w:hint="eastAsia"/>
          <w:sz w:val="24"/>
          <w:szCs w:val="24"/>
        </w:rPr>
        <w:t>3</w:t>
      </w:r>
      <w:r w:rsidR="001702D3" w:rsidRPr="000A3C22">
        <w:rPr>
          <w:rFonts w:hAnsi="宋体" w:hint="eastAsia"/>
          <w:sz w:val="24"/>
          <w:szCs w:val="24"/>
        </w:rPr>
        <w:t>个</w:t>
      </w:r>
      <w:r w:rsidR="001702D3" w:rsidRPr="000A3C22">
        <w:rPr>
          <w:rFonts w:hAnsi="宋体" w:hint="eastAsia"/>
          <w:sz w:val="24"/>
          <w:szCs w:val="24"/>
        </w:rPr>
        <w:t>/</w:t>
      </w:r>
      <w:r w:rsidR="001702D3" w:rsidRPr="000A3C22">
        <w:rPr>
          <w:rFonts w:hAnsi="宋体" w:hint="eastAsia"/>
          <w:sz w:val="24"/>
          <w:szCs w:val="24"/>
        </w:rPr>
        <w:t>万孔，</w:t>
      </w:r>
      <w:proofErr w:type="gramStart"/>
      <w:r w:rsidR="001702D3" w:rsidRPr="000A3C22">
        <w:rPr>
          <w:rFonts w:hAnsi="宋体" w:hint="eastAsia"/>
          <w:sz w:val="24"/>
          <w:szCs w:val="24"/>
        </w:rPr>
        <w:t>相比台</w:t>
      </w:r>
      <w:proofErr w:type="gramEnd"/>
      <w:r w:rsidR="001702D3" w:rsidRPr="000A3C22">
        <w:rPr>
          <w:rFonts w:hAnsi="宋体" w:hint="eastAsia"/>
          <w:sz w:val="24"/>
          <w:szCs w:val="24"/>
        </w:rPr>
        <w:t>积电</w:t>
      </w:r>
      <w:proofErr w:type="spellStart"/>
      <w:r w:rsidR="001702D3" w:rsidRPr="000A3C22">
        <w:rPr>
          <w:rFonts w:hAnsi="宋体" w:hint="eastAsia"/>
          <w:sz w:val="24"/>
          <w:szCs w:val="24"/>
        </w:rPr>
        <w:t>CoWoS</w:t>
      </w:r>
      <w:proofErr w:type="spellEnd"/>
      <w:r w:rsidR="001702D3" w:rsidRPr="000A3C22">
        <w:rPr>
          <w:rFonts w:hAnsi="宋体" w:hint="eastAsia"/>
          <w:sz w:val="24"/>
          <w:szCs w:val="24"/>
        </w:rPr>
        <w:t>工艺要求的≤</w:t>
      </w:r>
      <w:r w:rsidR="001702D3" w:rsidRPr="000A3C22">
        <w:rPr>
          <w:rFonts w:hAnsi="宋体" w:hint="eastAsia"/>
          <w:sz w:val="24"/>
          <w:szCs w:val="24"/>
        </w:rPr>
        <w:t>5</w:t>
      </w:r>
      <w:r w:rsidR="001702D3" w:rsidRPr="000A3C22">
        <w:rPr>
          <w:rFonts w:hAnsi="宋体" w:hint="eastAsia"/>
          <w:sz w:val="24"/>
          <w:szCs w:val="24"/>
        </w:rPr>
        <w:t>个</w:t>
      </w:r>
      <w:r w:rsidR="001702D3" w:rsidRPr="000A3C22">
        <w:rPr>
          <w:rFonts w:hAnsi="宋体" w:hint="eastAsia"/>
          <w:sz w:val="24"/>
          <w:szCs w:val="24"/>
        </w:rPr>
        <w:t>/</w:t>
      </w:r>
      <w:r w:rsidR="001702D3" w:rsidRPr="000A3C22">
        <w:rPr>
          <w:rFonts w:hAnsi="宋体" w:hint="eastAsia"/>
          <w:sz w:val="24"/>
          <w:szCs w:val="24"/>
        </w:rPr>
        <w:t>万孔的行业共识，本标准加严了</w:t>
      </w:r>
      <w:r w:rsidR="001702D3" w:rsidRPr="000A3C22">
        <w:rPr>
          <w:rFonts w:hAnsi="宋体" w:hint="eastAsia"/>
          <w:sz w:val="24"/>
          <w:szCs w:val="24"/>
        </w:rPr>
        <w:t>40%</w:t>
      </w:r>
      <w:r w:rsidR="001702D3" w:rsidRPr="000A3C22">
        <w:rPr>
          <w:rFonts w:hAnsi="宋体" w:hint="eastAsia"/>
          <w:sz w:val="24"/>
          <w:szCs w:val="24"/>
        </w:rPr>
        <w:t>，以确保符合消费电子</w:t>
      </w:r>
      <w:r w:rsidR="001702D3" w:rsidRPr="000A3C22">
        <w:rPr>
          <w:rFonts w:hAnsi="宋体" w:hint="eastAsia"/>
          <w:sz w:val="24"/>
          <w:szCs w:val="24"/>
        </w:rPr>
        <w:t>98%</w:t>
      </w:r>
      <w:r w:rsidR="001702D3" w:rsidRPr="000A3C22">
        <w:rPr>
          <w:rFonts w:hAnsi="宋体" w:hint="eastAsia"/>
          <w:sz w:val="24"/>
          <w:szCs w:val="24"/>
        </w:rPr>
        <w:t>良率要求；针对</w:t>
      </w:r>
      <w:r w:rsidR="001702D3" w:rsidRPr="000A3C22">
        <w:rPr>
          <w:rFonts w:hAnsi="宋体" w:hint="eastAsia"/>
          <w:sz w:val="24"/>
          <w:szCs w:val="24"/>
        </w:rPr>
        <w:t>TSV</w:t>
      </w:r>
      <w:r w:rsidR="001702D3" w:rsidRPr="000A3C22">
        <w:rPr>
          <w:rFonts w:hAnsi="宋体" w:hint="eastAsia"/>
          <w:sz w:val="24"/>
          <w:szCs w:val="24"/>
        </w:rPr>
        <w:t>填充</w:t>
      </w:r>
      <w:proofErr w:type="gramStart"/>
      <w:r w:rsidR="001702D3" w:rsidRPr="000A3C22">
        <w:rPr>
          <w:rFonts w:hAnsi="宋体" w:hint="eastAsia"/>
          <w:sz w:val="24"/>
          <w:szCs w:val="24"/>
        </w:rPr>
        <w:t>不</w:t>
      </w:r>
      <w:proofErr w:type="gramEnd"/>
      <w:r w:rsidR="001702D3" w:rsidRPr="000A3C22">
        <w:rPr>
          <w:rFonts w:hAnsi="宋体" w:hint="eastAsia"/>
          <w:sz w:val="24"/>
          <w:szCs w:val="24"/>
        </w:rPr>
        <w:t>均匀度，本标准设定≤</w:t>
      </w:r>
      <w:r w:rsidR="001702D3" w:rsidRPr="000A3C22">
        <w:rPr>
          <w:rFonts w:hAnsi="宋体" w:hint="eastAsia"/>
          <w:sz w:val="24"/>
          <w:szCs w:val="24"/>
        </w:rPr>
        <w:t>10%</w:t>
      </w:r>
      <w:r w:rsidR="001702D3" w:rsidRPr="000A3C22">
        <w:rPr>
          <w:rFonts w:hAnsi="宋体" w:hint="eastAsia"/>
          <w:sz w:val="24"/>
          <w:szCs w:val="24"/>
        </w:rPr>
        <w:t>的缺陷验收阈值，满足了</w:t>
      </w:r>
      <w:r w:rsidR="001702D3" w:rsidRPr="000A3C22">
        <w:rPr>
          <w:rFonts w:hAnsi="宋体" w:hint="eastAsia"/>
          <w:sz w:val="24"/>
          <w:szCs w:val="24"/>
        </w:rPr>
        <w:lastRenderedPageBreak/>
        <w:t>JESD204C</w:t>
      </w:r>
      <w:r w:rsidR="001702D3" w:rsidRPr="000A3C22">
        <w:rPr>
          <w:rFonts w:hAnsi="宋体" w:hint="eastAsia"/>
          <w:sz w:val="24"/>
          <w:szCs w:val="24"/>
        </w:rPr>
        <w:t>标准要求的</w:t>
      </w:r>
      <w:r w:rsidR="001702D3" w:rsidRPr="000A3C22">
        <w:rPr>
          <w:rFonts w:hAnsi="宋体" w:hint="eastAsia"/>
          <w:sz w:val="24"/>
          <w:szCs w:val="24"/>
        </w:rPr>
        <w:t>5Gbps</w:t>
      </w:r>
      <w:r w:rsidR="001702D3" w:rsidRPr="000A3C22">
        <w:rPr>
          <w:rFonts w:hAnsi="宋体" w:hint="eastAsia"/>
          <w:sz w:val="24"/>
          <w:szCs w:val="24"/>
        </w:rPr>
        <w:t>高速信号互连要求。</w:t>
      </w:r>
    </w:p>
    <w:p w14:paraId="7CFAF0F5" w14:textId="77777777" w:rsidR="004C194B" w:rsidRPr="000A3C22" w:rsidRDefault="004C194B">
      <w:pPr>
        <w:tabs>
          <w:tab w:val="left" w:pos="0"/>
        </w:tabs>
        <w:spacing w:line="580" w:lineRule="exact"/>
        <w:ind w:firstLineChars="200" w:firstLine="480"/>
        <w:rPr>
          <w:rFonts w:hAnsi="宋体"/>
          <w:sz w:val="24"/>
          <w:szCs w:val="24"/>
        </w:rPr>
      </w:pPr>
    </w:p>
    <w:p w14:paraId="0EA403E1" w14:textId="77777777" w:rsidR="00C1581F" w:rsidRPr="000A3C22" w:rsidRDefault="004C194B">
      <w:pPr>
        <w:pStyle w:val="affa"/>
        <w:spacing w:line="360" w:lineRule="auto"/>
        <w:ind w:firstLineChars="0" w:firstLine="0"/>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七、与现行相关法律、法规、规章及相关标准的协调性</w:t>
      </w:r>
    </w:p>
    <w:p w14:paraId="4535831D" w14:textId="5154352B" w:rsidR="00C1581F" w:rsidRPr="000A3C22" w:rsidRDefault="004C194B">
      <w:pPr>
        <w:pStyle w:val="aff9"/>
        <w:spacing w:line="360" w:lineRule="auto"/>
        <w:ind w:firstLineChars="0"/>
        <w:rPr>
          <w:rFonts w:hAnsi="宋体"/>
          <w:sz w:val="24"/>
          <w:szCs w:val="24"/>
        </w:rPr>
      </w:pPr>
      <w:r w:rsidRPr="000A3C22">
        <w:rPr>
          <w:rFonts w:hAnsi="宋体" w:hint="eastAsia"/>
          <w:sz w:val="24"/>
          <w:szCs w:val="24"/>
        </w:rPr>
        <w:t>本标准参考</w:t>
      </w:r>
      <w:r w:rsidR="00C85676" w:rsidRPr="000A3C22">
        <w:rPr>
          <w:rFonts w:asciiTheme="minorEastAsia" w:eastAsiaTheme="minorEastAsia" w:hAnsiTheme="minorEastAsia" w:cs="Arial"/>
          <w:color w:val="333333"/>
          <w:sz w:val="24"/>
          <w:szCs w:val="24"/>
          <w:shd w:val="clear" w:color="auto" w:fill="FFFFFF"/>
        </w:rPr>
        <w:t>GB/T 1.1</w:t>
      </w:r>
      <w:r w:rsidR="00C85676" w:rsidRPr="000A3C22">
        <w:rPr>
          <w:rFonts w:asciiTheme="minorEastAsia" w:eastAsiaTheme="minorEastAsia" w:hAnsiTheme="minorEastAsia" w:cs="Arial" w:hint="eastAsia"/>
          <w:color w:val="333333"/>
          <w:sz w:val="24"/>
          <w:szCs w:val="24"/>
          <w:shd w:val="clear" w:color="auto" w:fill="FFFFFF"/>
        </w:rPr>
        <w:t>—</w:t>
      </w:r>
      <w:r w:rsidR="00C85676" w:rsidRPr="000A3C22">
        <w:rPr>
          <w:rFonts w:asciiTheme="minorEastAsia" w:eastAsiaTheme="minorEastAsia" w:hAnsiTheme="minorEastAsia" w:cs="Arial"/>
          <w:color w:val="333333"/>
          <w:sz w:val="24"/>
          <w:szCs w:val="24"/>
          <w:shd w:val="clear" w:color="auto" w:fill="FFFFFF"/>
        </w:rPr>
        <w:t>2020</w:t>
      </w:r>
      <w:r w:rsidR="00C85676" w:rsidRPr="000A3C22">
        <w:rPr>
          <w:rFonts w:asciiTheme="minorEastAsia" w:eastAsiaTheme="minorEastAsia" w:hAnsiTheme="minorEastAsia" w:cs="Arial" w:hint="eastAsia"/>
          <w:color w:val="333333"/>
          <w:sz w:val="24"/>
          <w:szCs w:val="24"/>
          <w:shd w:val="clear" w:color="auto" w:fill="FFFFFF"/>
        </w:rPr>
        <w:t>《标准化工作导则</w:t>
      </w:r>
      <w:r w:rsidR="00C85676" w:rsidRPr="000A3C22">
        <w:rPr>
          <w:rFonts w:asciiTheme="minorEastAsia" w:eastAsiaTheme="minorEastAsia" w:hAnsiTheme="minorEastAsia" w:cs="Arial"/>
          <w:color w:val="333333"/>
          <w:sz w:val="24"/>
          <w:szCs w:val="24"/>
          <w:shd w:val="clear" w:color="auto" w:fill="FFFFFF"/>
        </w:rPr>
        <w:t xml:space="preserve">  </w:t>
      </w:r>
      <w:r w:rsidR="00C85676" w:rsidRPr="000A3C22">
        <w:rPr>
          <w:rFonts w:asciiTheme="minorEastAsia" w:eastAsiaTheme="minorEastAsia" w:hAnsiTheme="minorEastAsia" w:cs="Arial" w:hint="eastAsia"/>
          <w:color w:val="333333"/>
          <w:sz w:val="24"/>
          <w:szCs w:val="24"/>
          <w:shd w:val="clear" w:color="auto" w:fill="FFFFFF"/>
        </w:rPr>
        <w:t>第</w:t>
      </w:r>
      <w:r w:rsidR="00C85676" w:rsidRPr="000A3C22">
        <w:rPr>
          <w:rFonts w:asciiTheme="minorEastAsia" w:eastAsiaTheme="minorEastAsia" w:hAnsiTheme="minorEastAsia" w:cs="Arial"/>
          <w:color w:val="333333"/>
          <w:sz w:val="24"/>
          <w:szCs w:val="24"/>
          <w:shd w:val="clear" w:color="auto" w:fill="FFFFFF"/>
        </w:rPr>
        <w:t>1</w:t>
      </w:r>
      <w:r w:rsidR="00C85676" w:rsidRPr="000A3C22">
        <w:rPr>
          <w:rFonts w:asciiTheme="minorEastAsia" w:eastAsiaTheme="minorEastAsia" w:hAnsiTheme="minorEastAsia" w:cs="Arial" w:hint="eastAsia"/>
          <w:color w:val="333333"/>
          <w:sz w:val="24"/>
          <w:szCs w:val="24"/>
          <w:shd w:val="clear" w:color="auto" w:fill="FFFFFF"/>
        </w:rPr>
        <w:t>部分：标准化文件的结构和起草规则》</w:t>
      </w:r>
      <w:r w:rsidRPr="000A3C22">
        <w:rPr>
          <w:rFonts w:hAnsi="宋体" w:hint="eastAsia"/>
          <w:sz w:val="24"/>
          <w:szCs w:val="24"/>
        </w:rPr>
        <w:t>标准编制，标准具体技术指标和参数属首创，与现行法律、法规、规章无冲突之处。</w:t>
      </w:r>
    </w:p>
    <w:p w14:paraId="30F3C81A" w14:textId="77777777" w:rsidR="00C1581F" w:rsidRPr="000A3C22" w:rsidRDefault="00C1581F">
      <w:pPr>
        <w:spacing w:line="360" w:lineRule="auto"/>
        <w:ind w:firstLineChars="200" w:firstLine="480"/>
        <w:rPr>
          <w:rFonts w:asciiTheme="minorEastAsia" w:hAnsiTheme="minorEastAsia"/>
          <w:sz w:val="24"/>
          <w:szCs w:val="24"/>
        </w:rPr>
      </w:pPr>
    </w:p>
    <w:p w14:paraId="13505BC0" w14:textId="77777777" w:rsidR="00C1581F" w:rsidRPr="000A3C22" w:rsidRDefault="004C194B">
      <w:pPr>
        <w:pStyle w:val="affa"/>
        <w:spacing w:line="360" w:lineRule="auto"/>
        <w:ind w:firstLineChars="0" w:firstLine="0"/>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八、标准实施建议</w:t>
      </w:r>
    </w:p>
    <w:p w14:paraId="0CDC811C" w14:textId="77777777" w:rsidR="00C1581F" w:rsidRPr="000A3C22" w:rsidRDefault="004C194B">
      <w:pPr>
        <w:pStyle w:val="aff9"/>
        <w:spacing w:line="360" w:lineRule="auto"/>
        <w:ind w:firstLineChars="0"/>
        <w:rPr>
          <w:rFonts w:asciiTheme="minorEastAsia" w:eastAsiaTheme="minorEastAsia" w:hAnsiTheme="minorEastAsia"/>
          <w:color w:val="000000"/>
          <w:sz w:val="24"/>
          <w:szCs w:val="24"/>
        </w:rPr>
      </w:pPr>
      <w:r w:rsidRPr="000A3C22">
        <w:rPr>
          <w:rFonts w:asciiTheme="minorEastAsia" w:eastAsiaTheme="minorEastAsia" w:hAnsiTheme="minorEastAsia" w:hint="eastAsia"/>
          <w:color w:val="000000"/>
          <w:sz w:val="24"/>
          <w:szCs w:val="24"/>
        </w:rPr>
        <w:t>本标准为首次制定，新标准的实施将进一步保证产品质量，规范市场，促进贸易，引导行业健康快速发展。</w:t>
      </w:r>
    </w:p>
    <w:p w14:paraId="0251D708" w14:textId="77777777" w:rsidR="00C1581F" w:rsidRPr="000A3C22" w:rsidRDefault="00C1581F">
      <w:pPr>
        <w:pStyle w:val="aff9"/>
        <w:spacing w:line="360" w:lineRule="auto"/>
        <w:ind w:firstLineChars="0"/>
        <w:rPr>
          <w:rFonts w:asciiTheme="minorEastAsia" w:eastAsiaTheme="minorEastAsia" w:hAnsiTheme="minorEastAsia"/>
          <w:color w:val="000000"/>
          <w:sz w:val="24"/>
          <w:szCs w:val="24"/>
        </w:rPr>
      </w:pPr>
    </w:p>
    <w:p w14:paraId="18B308CD" w14:textId="77777777" w:rsidR="00C1581F" w:rsidRPr="000A3C22" w:rsidRDefault="004C194B">
      <w:pPr>
        <w:pStyle w:val="affa"/>
        <w:spacing w:line="360" w:lineRule="auto"/>
        <w:ind w:firstLineChars="0" w:firstLine="0"/>
        <w:rPr>
          <w:rFonts w:asciiTheme="minorEastAsia" w:eastAsiaTheme="minorEastAsia" w:hAnsiTheme="minorEastAsia"/>
          <w:b/>
          <w:sz w:val="24"/>
          <w:szCs w:val="24"/>
        </w:rPr>
      </w:pPr>
      <w:r w:rsidRPr="000A3C22">
        <w:rPr>
          <w:rFonts w:asciiTheme="minorEastAsia" w:eastAsiaTheme="minorEastAsia" w:hAnsiTheme="minorEastAsia" w:hint="eastAsia"/>
          <w:b/>
          <w:sz w:val="24"/>
          <w:szCs w:val="24"/>
        </w:rPr>
        <w:t>九、其他需要说明的事项</w:t>
      </w:r>
    </w:p>
    <w:p w14:paraId="27657179" w14:textId="77777777" w:rsidR="00C1581F" w:rsidRDefault="004C194B">
      <w:pPr>
        <w:pStyle w:val="aff9"/>
        <w:spacing w:line="360" w:lineRule="auto"/>
        <w:ind w:firstLineChars="0"/>
        <w:rPr>
          <w:rFonts w:asciiTheme="minorEastAsia" w:eastAsiaTheme="minorEastAsia" w:hAnsiTheme="minorEastAsia"/>
          <w:sz w:val="24"/>
          <w:szCs w:val="24"/>
        </w:rPr>
      </w:pPr>
      <w:r w:rsidRPr="000A3C22">
        <w:rPr>
          <w:rFonts w:asciiTheme="minorEastAsia" w:eastAsiaTheme="minorEastAsia" w:hAnsiTheme="minorEastAsia" w:hint="eastAsia"/>
          <w:sz w:val="24"/>
          <w:szCs w:val="24"/>
        </w:rPr>
        <w:t>无。</w:t>
      </w:r>
    </w:p>
    <w:p w14:paraId="79BF06FF" w14:textId="77777777" w:rsidR="00C1581F" w:rsidRDefault="00C1581F">
      <w:pPr>
        <w:pStyle w:val="aff9"/>
        <w:spacing w:line="360" w:lineRule="auto"/>
        <w:ind w:firstLineChars="0"/>
        <w:rPr>
          <w:rFonts w:asciiTheme="minorEastAsia" w:eastAsiaTheme="minorEastAsia" w:hAnsiTheme="minorEastAsia"/>
          <w:sz w:val="24"/>
          <w:szCs w:val="24"/>
        </w:rPr>
      </w:pPr>
    </w:p>
    <w:sectPr w:rsidR="00C1581F">
      <w:footerReference w:type="default" r:id="rId11"/>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E42FF" w14:textId="77777777" w:rsidR="00736DBD" w:rsidRDefault="00736DBD">
      <w:r>
        <w:separator/>
      </w:r>
    </w:p>
  </w:endnote>
  <w:endnote w:type="continuationSeparator" w:id="0">
    <w:p w14:paraId="0BBDF3DE" w14:textId="77777777" w:rsidR="00736DBD" w:rsidRDefault="0073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
    </w:sdtPr>
    <w:sdtEndPr/>
    <w:sdtContent>
      <w:p w14:paraId="14A1CFC6" w14:textId="522E1B9A" w:rsidR="00C1581F" w:rsidRDefault="004C194B">
        <w:pPr>
          <w:pStyle w:val="aff2"/>
          <w:jc w:val="right"/>
        </w:pPr>
        <w:r>
          <w:fldChar w:fldCharType="begin"/>
        </w:r>
        <w:r>
          <w:instrText>PAGE   \* MERGEFORMAT</w:instrText>
        </w:r>
        <w:r>
          <w:fldChar w:fldCharType="separate"/>
        </w:r>
        <w:r w:rsidR="009A512E" w:rsidRPr="009A512E">
          <w:rPr>
            <w:noProof/>
            <w:lang w:val="zh-CN"/>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AB4E1" w14:textId="77777777" w:rsidR="00736DBD" w:rsidRDefault="00736DBD">
      <w:r>
        <w:separator/>
      </w:r>
    </w:p>
  </w:footnote>
  <w:footnote w:type="continuationSeparator" w:id="0">
    <w:p w14:paraId="1B3997B8" w14:textId="77777777" w:rsidR="00736DBD" w:rsidRDefault="00736D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pStyle w:val="a1"/>
      <w:suff w:val="nothing"/>
      <w:lvlText w:val="%10.%2 "/>
      <w:lvlJc w:val="left"/>
      <w:pPr>
        <w:ind w:left="0" w:firstLine="0"/>
      </w:pPr>
      <w:rPr>
        <w:rFonts w:ascii="黑体" w:eastAsia="黑体" w:hAnsiTheme="minorHAnsi" w:hint="eastAsia"/>
        <w:b w:val="0"/>
        <w:i w:val="0"/>
        <w:sz w:val="21"/>
      </w:rPr>
    </w:lvl>
    <w:lvl w:ilvl="2">
      <w:start w:val="1"/>
      <w:numFmt w:val="decimal"/>
      <w:pStyle w:val="a2"/>
      <w:suff w:val="nothing"/>
      <w:lvlText w:val="%10.%2.%3 "/>
      <w:lvlJc w:val="left"/>
      <w:pPr>
        <w:ind w:left="0" w:firstLine="0"/>
      </w:pPr>
      <w:rPr>
        <w:rFonts w:ascii="黑体" w:eastAsia="黑体" w:hAnsiTheme="minorHAnsi" w:hint="eastAsia"/>
        <w:b w:val="0"/>
        <w:i w:val="0"/>
        <w:sz w:val="21"/>
      </w:rPr>
    </w:lvl>
    <w:lvl w:ilvl="3">
      <w:start w:val="1"/>
      <w:numFmt w:val="decimal"/>
      <w:pStyle w:val="a3"/>
      <w:suff w:val="nothing"/>
      <w:lvlText w:val="%10.%2.%3.%4 "/>
      <w:lvlJc w:val="left"/>
      <w:pPr>
        <w:ind w:left="0" w:firstLine="0"/>
      </w:pPr>
      <w:rPr>
        <w:rFonts w:ascii="黑体" w:eastAsia="黑体" w:hAnsiTheme="minorHAnsi" w:hint="eastAsia"/>
        <w:b w:val="0"/>
        <w:i w:val="0"/>
        <w:sz w:val="21"/>
      </w:rPr>
    </w:lvl>
    <w:lvl w:ilvl="4">
      <w:start w:val="1"/>
      <w:numFmt w:val="decimal"/>
      <w:pStyle w:val="a4"/>
      <w:suff w:val="nothing"/>
      <w:lvlText w:val="%10.%2.%3.%4.%5 "/>
      <w:lvlJc w:val="left"/>
      <w:pPr>
        <w:ind w:left="0" w:firstLine="0"/>
      </w:pPr>
      <w:rPr>
        <w:rFonts w:ascii="黑体" w:eastAsia="黑体" w:hAnsiTheme="minorHAnsi" w:hint="eastAsia"/>
        <w:b w:val="0"/>
        <w:i w:val="0"/>
        <w:sz w:val="21"/>
      </w:rPr>
    </w:lvl>
    <w:lvl w:ilvl="5">
      <w:start w:val="1"/>
      <w:numFmt w:val="decimal"/>
      <w:pStyle w:val="a5"/>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FF010CB"/>
    <w:multiLevelType w:val="multilevel"/>
    <w:tmpl w:val="0FF010C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AF15012"/>
    <w:multiLevelType w:val="multilevel"/>
    <w:tmpl w:val="1AF15012"/>
    <w:lvl w:ilvl="0">
      <w:start w:val="1"/>
      <w:numFmt w:val="upperLetter"/>
      <w:pStyle w:val="a6"/>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nsid w:val="1FC91163"/>
    <w:multiLevelType w:val="multilevel"/>
    <w:tmpl w:val="1FC91163"/>
    <w:lvl w:ilvl="0">
      <w:start w:val="1"/>
      <w:numFmt w:val="decimal"/>
      <w:pStyle w:val="a7"/>
      <w:suff w:val="nothing"/>
      <w:lvlText w:val="%1　"/>
      <w:lvlJc w:val="left"/>
      <w:pPr>
        <w:ind w:left="0" w:firstLine="0"/>
      </w:pPr>
      <w:rPr>
        <w:rFonts w:ascii="黑体" w:eastAsia="黑体" w:hAnsi="Times New Roman" w:hint="eastAsia"/>
        <w:b w:val="0"/>
        <w:i w:val="0"/>
        <w:sz w:val="21"/>
        <w:szCs w:val="21"/>
      </w:rPr>
    </w:lvl>
    <w:lvl w:ilvl="1">
      <w:start w:val="1"/>
      <w:numFmt w:val="decimal"/>
      <w:pStyle w:val="a8"/>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22320E7C"/>
    <w:multiLevelType w:val="multilevel"/>
    <w:tmpl w:val="22320E7C"/>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nsid w:val="3ED8362B"/>
    <w:multiLevelType w:val="multilevel"/>
    <w:tmpl w:val="3ED836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47664A0E"/>
    <w:multiLevelType w:val="hybridMultilevel"/>
    <w:tmpl w:val="1862EC42"/>
    <w:lvl w:ilvl="0" w:tplc="90BADA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557C2AF5"/>
    <w:multiLevelType w:val="multilevel"/>
    <w:tmpl w:val="557C2AF5"/>
    <w:lvl w:ilvl="0">
      <w:start w:val="1"/>
      <w:numFmt w:val="decimal"/>
      <w:pStyle w:val="a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0">
    <w:nsid w:val="5C9D3A1D"/>
    <w:multiLevelType w:val="multilevel"/>
    <w:tmpl w:val="5C9D3A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46260FA"/>
    <w:multiLevelType w:val="multilevel"/>
    <w:tmpl w:val="646260FA"/>
    <w:lvl w:ilvl="0">
      <w:start w:val="1"/>
      <w:numFmt w:val="decimal"/>
      <w:pStyle w:val="af1"/>
      <w:suff w:val="nothing"/>
      <w:lvlText w:val="表%1　"/>
      <w:lvlJc w:val="left"/>
      <w:pPr>
        <w:ind w:left="0" w:firstLine="0"/>
      </w:pPr>
      <w:rPr>
        <w:rFonts w:ascii="黑体" w:eastAsia="黑体" w:hAnsi="Times New Roman" w:hint="eastAsia"/>
        <w:b w:val="0"/>
        <w:i w:val="0"/>
        <w:sz w:val="24"/>
        <w:szCs w:val="24"/>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nsid w:val="699C44B0"/>
    <w:multiLevelType w:val="multilevel"/>
    <w:tmpl w:val="699C44B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6CEA2025"/>
    <w:multiLevelType w:val="multilevel"/>
    <w:tmpl w:val="6CEA2025"/>
    <w:lvl w:ilvl="0">
      <w:start w:val="1"/>
      <w:numFmt w:val="none"/>
      <w:pStyle w:val="af2"/>
      <w:suff w:val="nothing"/>
      <w:lvlText w:val="%1"/>
      <w:lvlJc w:val="left"/>
      <w:pPr>
        <w:ind w:left="0" w:firstLine="0"/>
      </w:pPr>
      <w:rPr>
        <w:rFonts w:hint="eastAsia"/>
      </w:rPr>
    </w:lvl>
    <w:lvl w:ilvl="1">
      <w:start w:val="1"/>
      <w:numFmt w:val="decimal"/>
      <w:pStyle w:val="af3"/>
      <w:suff w:val="nothing"/>
      <w:lvlText w:val="%1%2　"/>
      <w:lvlJc w:val="left"/>
      <w:pPr>
        <w:ind w:left="0" w:firstLine="0"/>
      </w:pPr>
      <w:rPr>
        <w:rFonts w:ascii="黑体" w:eastAsia="黑体" w:hint="eastAsia"/>
        <w:b w:val="0"/>
        <w:i w:val="0"/>
        <w:sz w:val="21"/>
      </w:rPr>
    </w:lvl>
    <w:lvl w:ilvl="2">
      <w:start w:val="1"/>
      <w:numFmt w:val="decimal"/>
      <w:pStyle w:val="a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5"/>
      <w:suff w:val="nothing"/>
      <w:lvlText w:val="%1%2.%3.%4　"/>
      <w:lvlJc w:val="left"/>
      <w:pPr>
        <w:ind w:left="142" w:firstLine="0"/>
      </w:pPr>
      <w:rPr>
        <w:rFonts w:ascii="黑体" w:eastAsia="黑体" w:hint="eastAsia"/>
        <w:b w:val="0"/>
        <w:i w:val="0"/>
        <w:sz w:val="21"/>
      </w:rPr>
    </w:lvl>
    <w:lvl w:ilvl="4">
      <w:start w:val="1"/>
      <w:numFmt w:val="decimal"/>
      <w:pStyle w:val="af6"/>
      <w:suff w:val="nothing"/>
      <w:lvlText w:val="%1%2.%3.%4.%5　"/>
      <w:lvlJc w:val="left"/>
      <w:pPr>
        <w:ind w:left="0" w:firstLine="0"/>
      </w:pPr>
      <w:rPr>
        <w:rFonts w:ascii="黑体" w:eastAsia="黑体" w:hint="eastAsia"/>
        <w:b w:val="0"/>
        <w:i w:val="0"/>
        <w:sz w:val="21"/>
      </w:rPr>
    </w:lvl>
    <w:lvl w:ilvl="5">
      <w:start w:val="1"/>
      <w:numFmt w:val="decimal"/>
      <w:pStyle w:val="af7"/>
      <w:suff w:val="nothing"/>
      <w:lvlText w:val="%1%2.%3.%4.%5.%6　"/>
      <w:lvlJc w:val="left"/>
      <w:pPr>
        <w:ind w:left="0" w:firstLine="0"/>
      </w:pPr>
      <w:rPr>
        <w:rFonts w:ascii="黑体" w:eastAsia="黑体" w:hint="eastAsia"/>
        <w:b w:val="0"/>
        <w:i w:val="0"/>
        <w:sz w:val="21"/>
      </w:rPr>
    </w:lvl>
    <w:lvl w:ilvl="6">
      <w:start w:val="1"/>
      <w:numFmt w:val="decimal"/>
      <w:pStyle w:val="a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DBF04F4"/>
    <w:multiLevelType w:val="multilevel"/>
    <w:tmpl w:val="6DBF04F4"/>
    <w:lvl w:ilvl="0">
      <w:start w:val="1"/>
      <w:numFmt w:val="none"/>
      <w:pStyle w:val="a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5">
    <w:nsid w:val="6F8F7D89"/>
    <w:multiLevelType w:val="multilevel"/>
    <w:tmpl w:val="6F8F7D8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7528594F"/>
    <w:multiLevelType w:val="multilevel"/>
    <w:tmpl w:val="7528594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76E175F"/>
    <w:multiLevelType w:val="multilevel"/>
    <w:tmpl w:val="776E175F"/>
    <w:lvl w:ilvl="0">
      <w:start w:val="1"/>
      <w:numFmt w:val="japaneseCounting"/>
      <w:lvlText w:val="%1、"/>
      <w:lvlJc w:val="left"/>
      <w:pPr>
        <w:ind w:left="1287" w:hanging="720"/>
      </w:pPr>
      <w:rPr>
        <w:rFonts w:hint="default"/>
      </w:rPr>
    </w:lvl>
    <w:lvl w:ilvl="1">
      <w:start w:val="1"/>
      <w:numFmt w:val="lowerLetter"/>
      <w:lvlText w:val="%2)"/>
      <w:lvlJc w:val="left"/>
      <w:pPr>
        <w:ind w:left="1407" w:hanging="420"/>
      </w:pPr>
    </w:lvl>
    <w:lvl w:ilvl="2">
      <w:start w:val="1"/>
      <w:numFmt w:val="lowerRoman"/>
      <w:pStyle w:val="afa"/>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num w:numId="1">
    <w:abstractNumId w:val="4"/>
  </w:num>
  <w:num w:numId="2">
    <w:abstractNumId w:val="11"/>
  </w:num>
  <w:num w:numId="3">
    <w:abstractNumId w:val="6"/>
  </w:num>
  <w:num w:numId="4">
    <w:abstractNumId w:val="14"/>
  </w:num>
  <w:num w:numId="5">
    <w:abstractNumId w:val="13"/>
  </w:num>
  <w:num w:numId="6">
    <w:abstractNumId w:val="17"/>
  </w:num>
  <w:num w:numId="7">
    <w:abstractNumId w:val="9"/>
  </w:num>
  <w:num w:numId="8">
    <w:abstractNumId w:val="0"/>
  </w:num>
  <w:num w:numId="9">
    <w:abstractNumId w:val="1"/>
  </w:num>
  <w:num w:numId="10">
    <w:abstractNumId w:val="3"/>
  </w:num>
  <w:num w:numId="11">
    <w:abstractNumId w:val="2"/>
  </w:num>
  <w:num w:numId="12">
    <w:abstractNumId w:val="16"/>
  </w:num>
  <w:num w:numId="13">
    <w:abstractNumId w:val="15"/>
  </w:num>
  <w:num w:numId="14">
    <w:abstractNumId w:val="7"/>
  </w:num>
  <w:num w:numId="15">
    <w:abstractNumId w:val="10"/>
  </w:num>
  <w:num w:numId="16">
    <w:abstractNumId w:val="12"/>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380"/>
    <w:rsid w:val="BF4E6E65"/>
    <w:rsid w:val="BFB5F473"/>
    <w:rsid w:val="BFFF7A5E"/>
    <w:rsid w:val="DCE604C7"/>
    <w:rsid w:val="E9F70FA4"/>
    <w:rsid w:val="FB9D2675"/>
    <w:rsid w:val="FBBB3EDC"/>
    <w:rsid w:val="00002E37"/>
    <w:rsid w:val="00003224"/>
    <w:rsid w:val="000156B2"/>
    <w:rsid w:val="00015D24"/>
    <w:rsid w:val="00017584"/>
    <w:rsid w:val="00017E9D"/>
    <w:rsid w:val="000249BD"/>
    <w:rsid w:val="00024B4C"/>
    <w:rsid w:val="00025C76"/>
    <w:rsid w:val="000262D2"/>
    <w:rsid w:val="00042DE6"/>
    <w:rsid w:val="000472C9"/>
    <w:rsid w:val="0004738E"/>
    <w:rsid w:val="00050DD9"/>
    <w:rsid w:val="0005113F"/>
    <w:rsid w:val="00051AD7"/>
    <w:rsid w:val="00056AB6"/>
    <w:rsid w:val="00057083"/>
    <w:rsid w:val="00061A38"/>
    <w:rsid w:val="00064B03"/>
    <w:rsid w:val="000755C8"/>
    <w:rsid w:val="00075EFF"/>
    <w:rsid w:val="00080318"/>
    <w:rsid w:val="000806C7"/>
    <w:rsid w:val="000900B6"/>
    <w:rsid w:val="00093624"/>
    <w:rsid w:val="00095912"/>
    <w:rsid w:val="000972DE"/>
    <w:rsid w:val="00097421"/>
    <w:rsid w:val="000A2062"/>
    <w:rsid w:val="000A22F5"/>
    <w:rsid w:val="000A22FB"/>
    <w:rsid w:val="000A25E4"/>
    <w:rsid w:val="000A3C22"/>
    <w:rsid w:val="000A4D73"/>
    <w:rsid w:val="000B2515"/>
    <w:rsid w:val="000B32C5"/>
    <w:rsid w:val="000D3E40"/>
    <w:rsid w:val="000D6A43"/>
    <w:rsid w:val="000F3F28"/>
    <w:rsid w:val="001042B5"/>
    <w:rsid w:val="001175F9"/>
    <w:rsid w:val="00123D6C"/>
    <w:rsid w:val="00127761"/>
    <w:rsid w:val="00132448"/>
    <w:rsid w:val="00156C15"/>
    <w:rsid w:val="001570C1"/>
    <w:rsid w:val="0016344B"/>
    <w:rsid w:val="00163956"/>
    <w:rsid w:val="001702D3"/>
    <w:rsid w:val="00171CCE"/>
    <w:rsid w:val="001805FC"/>
    <w:rsid w:val="001842F5"/>
    <w:rsid w:val="00184A5B"/>
    <w:rsid w:val="0019074D"/>
    <w:rsid w:val="001B472C"/>
    <w:rsid w:val="001C30A4"/>
    <w:rsid w:val="001C3AFC"/>
    <w:rsid w:val="001C3C73"/>
    <w:rsid w:val="001C4D30"/>
    <w:rsid w:val="001D4302"/>
    <w:rsid w:val="001F2225"/>
    <w:rsid w:val="001F30B6"/>
    <w:rsid w:val="001F4648"/>
    <w:rsid w:val="00204C93"/>
    <w:rsid w:val="00207E94"/>
    <w:rsid w:val="00220408"/>
    <w:rsid w:val="00220CE3"/>
    <w:rsid w:val="0022689E"/>
    <w:rsid w:val="00230057"/>
    <w:rsid w:val="00232E0D"/>
    <w:rsid w:val="00252E9B"/>
    <w:rsid w:val="00254BBB"/>
    <w:rsid w:val="00264868"/>
    <w:rsid w:val="00265F27"/>
    <w:rsid w:val="002732C7"/>
    <w:rsid w:val="002819F2"/>
    <w:rsid w:val="00282986"/>
    <w:rsid w:val="002910BC"/>
    <w:rsid w:val="002924E1"/>
    <w:rsid w:val="002A03FF"/>
    <w:rsid w:val="002A07F7"/>
    <w:rsid w:val="002A707C"/>
    <w:rsid w:val="002B7AA6"/>
    <w:rsid w:val="002C63F8"/>
    <w:rsid w:val="002D454B"/>
    <w:rsid w:val="002D7035"/>
    <w:rsid w:val="002F530F"/>
    <w:rsid w:val="00305B8D"/>
    <w:rsid w:val="00310C2B"/>
    <w:rsid w:val="00321F10"/>
    <w:rsid w:val="00322285"/>
    <w:rsid w:val="003310A3"/>
    <w:rsid w:val="00333304"/>
    <w:rsid w:val="00346B4D"/>
    <w:rsid w:val="003530A5"/>
    <w:rsid w:val="00353424"/>
    <w:rsid w:val="003649DD"/>
    <w:rsid w:val="00367943"/>
    <w:rsid w:val="003708DF"/>
    <w:rsid w:val="00375991"/>
    <w:rsid w:val="0037726B"/>
    <w:rsid w:val="00385B9A"/>
    <w:rsid w:val="00391816"/>
    <w:rsid w:val="0039500B"/>
    <w:rsid w:val="0039798B"/>
    <w:rsid w:val="003A0634"/>
    <w:rsid w:val="003A2B4E"/>
    <w:rsid w:val="003A4B83"/>
    <w:rsid w:val="003B7979"/>
    <w:rsid w:val="003C156F"/>
    <w:rsid w:val="003D7E8C"/>
    <w:rsid w:val="003E46D5"/>
    <w:rsid w:val="003E4D17"/>
    <w:rsid w:val="003E653E"/>
    <w:rsid w:val="003F584F"/>
    <w:rsid w:val="003F6DE6"/>
    <w:rsid w:val="00404387"/>
    <w:rsid w:val="00415402"/>
    <w:rsid w:val="0041728E"/>
    <w:rsid w:val="00421B9C"/>
    <w:rsid w:val="0042381B"/>
    <w:rsid w:val="00431BA5"/>
    <w:rsid w:val="00433E93"/>
    <w:rsid w:val="0043648C"/>
    <w:rsid w:val="00442432"/>
    <w:rsid w:val="004455AF"/>
    <w:rsid w:val="00453DBB"/>
    <w:rsid w:val="004548CF"/>
    <w:rsid w:val="004564B9"/>
    <w:rsid w:val="004661E7"/>
    <w:rsid w:val="0047548F"/>
    <w:rsid w:val="0048685B"/>
    <w:rsid w:val="00486D22"/>
    <w:rsid w:val="00490713"/>
    <w:rsid w:val="00494BC3"/>
    <w:rsid w:val="004A6CCE"/>
    <w:rsid w:val="004B5E33"/>
    <w:rsid w:val="004B7B70"/>
    <w:rsid w:val="004C194B"/>
    <w:rsid w:val="004D0852"/>
    <w:rsid w:val="004D1A6D"/>
    <w:rsid w:val="004D36F4"/>
    <w:rsid w:val="004D380D"/>
    <w:rsid w:val="004D6BB2"/>
    <w:rsid w:val="004D7376"/>
    <w:rsid w:val="004E2C72"/>
    <w:rsid w:val="00504749"/>
    <w:rsid w:val="00526FC5"/>
    <w:rsid w:val="0053178F"/>
    <w:rsid w:val="00537C34"/>
    <w:rsid w:val="0054547E"/>
    <w:rsid w:val="005528D4"/>
    <w:rsid w:val="00552D43"/>
    <w:rsid w:val="00554DC2"/>
    <w:rsid w:val="0056506F"/>
    <w:rsid w:val="005660D8"/>
    <w:rsid w:val="00570AA9"/>
    <w:rsid w:val="00570C25"/>
    <w:rsid w:val="00576D24"/>
    <w:rsid w:val="00582998"/>
    <w:rsid w:val="00591B6E"/>
    <w:rsid w:val="00596586"/>
    <w:rsid w:val="005B609E"/>
    <w:rsid w:val="005C3A13"/>
    <w:rsid w:val="005C45D8"/>
    <w:rsid w:val="005C62E8"/>
    <w:rsid w:val="005D1105"/>
    <w:rsid w:val="005D74DC"/>
    <w:rsid w:val="005E320F"/>
    <w:rsid w:val="005F157D"/>
    <w:rsid w:val="005F1E92"/>
    <w:rsid w:val="00601071"/>
    <w:rsid w:val="00612B38"/>
    <w:rsid w:val="006163A1"/>
    <w:rsid w:val="006258B2"/>
    <w:rsid w:val="00637AB1"/>
    <w:rsid w:val="00640BE1"/>
    <w:rsid w:val="006451F6"/>
    <w:rsid w:val="006469A1"/>
    <w:rsid w:val="00651311"/>
    <w:rsid w:val="00651DB4"/>
    <w:rsid w:val="006533E7"/>
    <w:rsid w:val="00655061"/>
    <w:rsid w:val="006556BB"/>
    <w:rsid w:val="00655C1A"/>
    <w:rsid w:val="00664912"/>
    <w:rsid w:val="00670751"/>
    <w:rsid w:val="00675BC1"/>
    <w:rsid w:val="006769FB"/>
    <w:rsid w:val="00681BA2"/>
    <w:rsid w:val="006852DC"/>
    <w:rsid w:val="0069152F"/>
    <w:rsid w:val="00693D9E"/>
    <w:rsid w:val="006952ED"/>
    <w:rsid w:val="00696266"/>
    <w:rsid w:val="006A0F04"/>
    <w:rsid w:val="006B3275"/>
    <w:rsid w:val="006B354E"/>
    <w:rsid w:val="006B743E"/>
    <w:rsid w:val="006B7B9C"/>
    <w:rsid w:val="006C2631"/>
    <w:rsid w:val="006D6880"/>
    <w:rsid w:val="006E0C11"/>
    <w:rsid w:val="006E3232"/>
    <w:rsid w:val="006E4E3A"/>
    <w:rsid w:val="006E7EEA"/>
    <w:rsid w:val="006F1C74"/>
    <w:rsid w:val="006F45EE"/>
    <w:rsid w:val="007149DA"/>
    <w:rsid w:val="0071546F"/>
    <w:rsid w:val="007218C3"/>
    <w:rsid w:val="007258E4"/>
    <w:rsid w:val="00734AAB"/>
    <w:rsid w:val="00736DBD"/>
    <w:rsid w:val="007407D1"/>
    <w:rsid w:val="00743E0D"/>
    <w:rsid w:val="00754591"/>
    <w:rsid w:val="007618F7"/>
    <w:rsid w:val="00764CE1"/>
    <w:rsid w:val="007658FD"/>
    <w:rsid w:val="007744FE"/>
    <w:rsid w:val="007948C7"/>
    <w:rsid w:val="00796BD3"/>
    <w:rsid w:val="007A1894"/>
    <w:rsid w:val="007A3D2C"/>
    <w:rsid w:val="007B1AD7"/>
    <w:rsid w:val="007B1CEC"/>
    <w:rsid w:val="007C44BC"/>
    <w:rsid w:val="007C78A7"/>
    <w:rsid w:val="007D2810"/>
    <w:rsid w:val="007D4312"/>
    <w:rsid w:val="007D7F24"/>
    <w:rsid w:val="007F0AB1"/>
    <w:rsid w:val="007F2287"/>
    <w:rsid w:val="007F4669"/>
    <w:rsid w:val="007F4E3F"/>
    <w:rsid w:val="007F5F65"/>
    <w:rsid w:val="007F67DB"/>
    <w:rsid w:val="008030B3"/>
    <w:rsid w:val="00806671"/>
    <w:rsid w:val="00813F46"/>
    <w:rsid w:val="008164B8"/>
    <w:rsid w:val="00816763"/>
    <w:rsid w:val="00823666"/>
    <w:rsid w:val="00827AC0"/>
    <w:rsid w:val="00850B7D"/>
    <w:rsid w:val="0085177E"/>
    <w:rsid w:val="008628BD"/>
    <w:rsid w:val="00867E70"/>
    <w:rsid w:val="00875F11"/>
    <w:rsid w:val="00881745"/>
    <w:rsid w:val="00882AD8"/>
    <w:rsid w:val="00883E13"/>
    <w:rsid w:val="00885659"/>
    <w:rsid w:val="008906A7"/>
    <w:rsid w:val="00895B3D"/>
    <w:rsid w:val="008A11BD"/>
    <w:rsid w:val="008A219F"/>
    <w:rsid w:val="008A46A1"/>
    <w:rsid w:val="008A7927"/>
    <w:rsid w:val="008B0D1A"/>
    <w:rsid w:val="008B7AC1"/>
    <w:rsid w:val="008C0B00"/>
    <w:rsid w:val="008D13F9"/>
    <w:rsid w:val="008E36F4"/>
    <w:rsid w:val="008E4A5E"/>
    <w:rsid w:val="008E5B4A"/>
    <w:rsid w:val="008F4461"/>
    <w:rsid w:val="008F6D98"/>
    <w:rsid w:val="008F7461"/>
    <w:rsid w:val="008F775B"/>
    <w:rsid w:val="00900312"/>
    <w:rsid w:val="0091693A"/>
    <w:rsid w:val="009225A2"/>
    <w:rsid w:val="00931A00"/>
    <w:rsid w:val="00936698"/>
    <w:rsid w:val="009406ED"/>
    <w:rsid w:val="00944BC7"/>
    <w:rsid w:val="00945027"/>
    <w:rsid w:val="00955935"/>
    <w:rsid w:val="00957787"/>
    <w:rsid w:val="009577FE"/>
    <w:rsid w:val="00961E2A"/>
    <w:rsid w:val="00977B47"/>
    <w:rsid w:val="00983CC5"/>
    <w:rsid w:val="00985C3E"/>
    <w:rsid w:val="00996A9C"/>
    <w:rsid w:val="009A056E"/>
    <w:rsid w:val="009A12D4"/>
    <w:rsid w:val="009A374E"/>
    <w:rsid w:val="009A512E"/>
    <w:rsid w:val="009B0C05"/>
    <w:rsid w:val="009C5B9E"/>
    <w:rsid w:val="009C72F6"/>
    <w:rsid w:val="009D03D1"/>
    <w:rsid w:val="009D08C1"/>
    <w:rsid w:val="009D6887"/>
    <w:rsid w:val="009E480B"/>
    <w:rsid w:val="009F0E5E"/>
    <w:rsid w:val="009F2605"/>
    <w:rsid w:val="009F339B"/>
    <w:rsid w:val="00A07A29"/>
    <w:rsid w:val="00A11443"/>
    <w:rsid w:val="00A24499"/>
    <w:rsid w:val="00A24E43"/>
    <w:rsid w:val="00A2706F"/>
    <w:rsid w:val="00A41467"/>
    <w:rsid w:val="00A419B1"/>
    <w:rsid w:val="00A4374C"/>
    <w:rsid w:val="00A44229"/>
    <w:rsid w:val="00A51B2F"/>
    <w:rsid w:val="00A56723"/>
    <w:rsid w:val="00A57CF0"/>
    <w:rsid w:val="00A6498B"/>
    <w:rsid w:val="00A65D90"/>
    <w:rsid w:val="00A66FF8"/>
    <w:rsid w:val="00A741A8"/>
    <w:rsid w:val="00A76B53"/>
    <w:rsid w:val="00A902C1"/>
    <w:rsid w:val="00A911E7"/>
    <w:rsid w:val="00A93AF5"/>
    <w:rsid w:val="00A93F47"/>
    <w:rsid w:val="00A96674"/>
    <w:rsid w:val="00AA3F4A"/>
    <w:rsid w:val="00AA4238"/>
    <w:rsid w:val="00AB16E0"/>
    <w:rsid w:val="00AB66DB"/>
    <w:rsid w:val="00AC4B95"/>
    <w:rsid w:val="00AC63E0"/>
    <w:rsid w:val="00AC6428"/>
    <w:rsid w:val="00AD0D18"/>
    <w:rsid w:val="00AD4DE9"/>
    <w:rsid w:val="00AD6D3A"/>
    <w:rsid w:val="00AE20F8"/>
    <w:rsid w:val="00AE3CF9"/>
    <w:rsid w:val="00AF1834"/>
    <w:rsid w:val="00AF5274"/>
    <w:rsid w:val="00AF5A4B"/>
    <w:rsid w:val="00AF74EA"/>
    <w:rsid w:val="00B03F1B"/>
    <w:rsid w:val="00B05C4F"/>
    <w:rsid w:val="00B06624"/>
    <w:rsid w:val="00B10D25"/>
    <w:rsid w:val="00B10FDB"/>
    <w:rsid w:val="00B143BD"/>
    <w:rsid w:val="00B16775"/>
    <w:rsid w:val="00B236D2"/>
    <w:rsid w:val="00B27AD3"/>
    <w:rsid w:val="00B40E95"/>
    <w:rsid w:val="00B45960"/>
    <w:rsid w:val="00B468E1"/>
    <w:rsid w:val="00B4742B"/>
    <w:rsid w:val="00B52169"/>
    <w:rsid w:val="00B627D4"/>
    <w:rsid w:val="00B6391A"/>
    <w:rsid w:val="00B72FF8"/>
    <w:rsid w:val="00B77EBF"/>
    <w:rsid w:val="00B86A8F"/>
    <w:rsid w:val="00B86ACD"/>
    <w:rsid w:val="00B9771F"/>
    <w:rsid w:val="00BA6085"/>
    <w:rsid w:val="00BB3E14"/>
    <w:rsid w:val="00BB5C14"/>
    <w:rsid w:val="00BC0667"/>
    <w:rsid w:val="00BC07D8"/>
    <w:rsid w:val="00BD2888"/>
    <w:rsid w:val="00BD2FC9"/>
    <w:rsid w:val="00BD424F"/>
    <w:rsid w:val="00BD4ADF"/>
    <w:rsid w:val="00BE11AE"/>
    <w:rsid w:val="00BE18A1"/>
    <w:rsid w:val="00BE61F8"/>
    <w:rsid w:val="00BF6902"/>
    <w:rsid w:val="00C06F22"/>
    <w:rsid w:val="00C10299"/>
    <w:rsid w:val="00C10D79"/>
    <w:rsid w:val="00C11ABF"/>
    <w:rsid w:val="00C1581F"/>
    <w:rsid w:val="00C20CD5"/>
    <w:rsid w:val="00C2344E"/>
    <w:rsid w:val="00C26B18"/>
    <w:rsid w:val="00C33002"/>
    <w:rsid w:val="00C34A0F"/>
    <w:rsid w:val="00C47291"/>
    <w:rsid w:val="00C51EAC"/>
    <w:rsid w:val="00C55CF1"/>
    <w:rsid w:val="00C6104E"/>
    <w:rsid w:val="00C66711"/>
    <w:rsid w:val="00C66730"/>
    <w:rsid w:val="00C67E44"/>
    <w:rsid w:val="00C72913"/>
    <w:rsid w:val="00C81218"/>
    <w:rsid w:val="00C83CCB"/>
    <w:rsid w:val="00C8428B"/>
    <w:rsid w:val="00C85676"/>
    <w:rsid w:val="00C90251"/>
    <w:rsid w:val="00C904D1"/>
    <w:rsid w:val="00C91556"/>
    <w:rsid w:val="00C93301"/>
    <w:rsid w:val="00C933D4"/>
    <w:rsid w:val="00C97A01"/>
    <w:rsid w:val="00CA0227"/>
    <w:rsid w:val="00CA16F5"/>
    <w:rsid w:val="00CA1703"/>
    <w:rsid w:val="00CA301E"/>
    <w:rsid w:val="00CC54B5"/>
    <w:rsid w:val="00CD5BFA"/>
    <w:rsid w:val="00CF35D8"/>
    <w:rsid w:val="00CF41C7"/>
    <w:rsid w:val="00CF4BBD"/>
    <w:rsid w:val="00D012A4"/>
    <w:rsid w:val="00D01541"/>
    <w:rsid w:val="00D02E15"/>
    <w:rsid w:val="00D06DF9"/>
    <w:rsid w:val="00D10447"/>
    <w:rsid w:val="00D120AF"/>
    <w:rsid w:val="00D13D8C"/>
    <w:rsid w:val="00D16B55"/>
    <w:rsid w:val="00D21F66"/>
    <w:rsid w:val="00D23834"/>
    <w:rsid w:val="00D2690B"/>
    <w:rsid w:val="00D30DB1"/>
    <w:rsid w:val="00D315A6"/>
    <w:rsid w:val="00D324D2"/>
    <w:rsid w:val="00D4027C"/>
    <w:rsid w:val="00D461DD"/>
    <w:rsid w:val="00D46B95"/>
    <w:rsid w:val="00D51B4C"/>
    <w:rsid w:val="00D60268"/>
    <w:rsid w:val="00D63FAC"/>
    <w:rsid w:val="00D66E72"/>
    <w:rsid w:val="00D74292"/>
    <w:rsid w:val="00D76F07"/>
    <w:rsid w:val="00D81754"/>
    <w:rsid w:val="00D8269D"/>
    <w:rsid w:val="00D84380"/>
    <w:rsid w:val="00D94106"/>
    <w:rsid w:val="00D94C25"/>
    <w:rsid w:val="00D95054"/>
    <w:rsid w:val="00D950B6"/>
    <w:rsid w:val="00DA0ED0"/>
    <w:rsid w:val="00DA5558"/>
    <w:rsid w:val="00DB6FC1"/>
    <w:rsid w:val="00DC141C"/>
    <w:rsid w:val="00DD1946"/>
    <w:rsid w:val="00DD5121"/>
    <w:rsid w:val="00DE2959"/>
    <w:rsid w:val="00DE4442"/>
    <w:rsid w:val="00DE4504"/>
    <w:rsid w:val="00DE7BDF"/>
    <w:rsid w:val="00DF32F7"/>
    <w:rsid w:val="00DF57DD"/>
    <w:rsid w:val="00E130C8"/>
    <w:rsid w:val="00E15898"/>
    <w:rsid w:val="00E26049"/>
    <w:rsid w:val="00E2755A"/>
    <w:rsid w:val="00E2798B"/>
    <w:rsid w:val="00E30925"/>
    <w:rsid w:val="00E32BCA"/>
    <w:rsid w:val="00E33EB3"/>
    <w:rsid w:val="00E52E1F"/>
    <w:rsid w:val="00E56AB6"/>
    <w:rsid w:val="00E62089"/>
    <w:rsid w:val="00E6503B"/>
    <w:rsid w:val="00E66032"/>
    <w:rsid w:val="00E72D6D"/>
    <w:rsid w:val="00E77BB4"/>
    <w:rsid w:val="00E850BF"/>
    <w:rsid w:val="00E85D97"/>
    <w:rsid w:val="00E85E39"/>
    <w:rsid w:val="00E91B44"/>
    <w:rsid w:val="00E9229F"/>
    <w:rsid w:val="00E94A7C"/>
    <w:rsid w:val="00EA4BD6"/>
    <w:rsid w:val="00EC17D9"/>
    <w:rsid w:val="00EC65D5"/>
    <w:rsid w:val="00ED187B"/>
    <w:rsid w:val="00ED6815"/>
    <w:rsid w:val="00EE3452"/>
    <w:rsid w:val="00EE5B4F"/>
    <w:rsid w:val="00EF4763"/>
    <w:rsid w:val="00F10356"/>
    <w:rsid w:val="00F12E11"/>
    <w:rsid w:val="00F16D83"/>
    <w:rsid w:val="00F171EE"/>
    <w:rsid w:val="00F224E6"/>
    <w:rsid w:val="00F2365C"/>
    <w:rsid w:val="00F3292B"/>
    <w:rsid w:val="00F33887"/>
    <w:rsid w:val="00F46E72"/>
    <w:rsid w:val="00F51D48"/>
    <w:rsid w:val="00F5391B"/>
    <w:rsid w:val="00F53AA5"/>
    <w:rsid w:val="00F64495"/>
    <w:rsid w:val="00F73E00"/>
    <w:rsid w:val="00F748DC"/>
    <w:rsid w:val="00F75127"/>
    <w:rsid w:val="00F751AF"/>
    <w:rsid w:val="00F80B46"/>
    <w:rsid w:val="00F854EA"/>
    <w:rsid w:val="00F85C29"/>
    <w:rsid w:val="00F92F0D"/>
    <w:rsid w:val="00FA079D"/>
    <w:rsid w:val="00FA45C7"/>
    <w:rsid w:val="00FB3E3F"/>
    <w:rsid w:val="00FC21AE"/>
    <w:rsid w:val="00FC5CBF"/>
    <w:rsid w:val="00FC612E"/>
    <w:rsid w:val="00FD3BD2"/>
    <w:rsid w:val="00FD515A"/>
    <w:rsid w:val="00FE48D6"/>
    <w:rsid w:val="00FE5512"/>
    <w:rsid w:val="00FF353E"/>
    <w:rsid w:val="1D674B1D"/>
    <w:rsid w:val="50877596"/>
    <w:rsid w:val="6EAF9BB8"/>
    <w:rsid w:val="6FED4F74"/>
    <w:rsid w:val="777F5915"/>
    <w:rsid w:val="7DD793AD"/>
    <w:rsid w:val="7F26A299"/>
    <w:rsid w:val="7FCFDFC9"/>
    <w:rsid w:val="7FDDF8F4"/>
    <w:rsid w:val="7FF30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E0AAB"/>
  <w15:docId w15:val="{F7497314-2271-4A84-BAC3-47B59CF8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b">
    <w:name w:val="Normal"/>
    <w:qFormat/>
    <w:pPr>
      <w:widowControl w:val="0"/>
      <w:jc w:val="both"/>
    </w:pPr>
    <w:rPr>
      <w:kern w:val="2"/>
      <w:sz w:val="21"/>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paragraph" w:styleId="aff">
    <w:name w:val="Body Text"/>
    <w:basedOn w:val="afb"/>
    <w:link w:val="Char"/>
    <w:uiPriority w:val="99"/>
    <w:semiHidden/>
    <w:unhideWhenUsed/>
    <w:pPr>
      <w:spacing w:after="120"/>
    </w:pPr>
  </w:style>
  <w:style w:type="paragraph" w:styleId="aff0">
    <w:name w:val="Date"/>
    <w:basedOn w:val="afb"/>
    <w:next w:val="afb"/>
    <w:link w:val="Char0"/>
    <w:uiPriority w:val="99"/>
    <w:semiHidden/>
    <w:unhideWhenUsed/>
    <w:qFormat/>
    <w:pPr>
      <w:ind w:leftChars="2500" w:left="100"/>
    </w:pPr>
  </w:style>
  <w:style w:type="paragraph" w:styleId="aff1">
    <w:name w:val="Balloon Text"/>
    <w:basedOn w:val="afb"/>
    <w:link w:val="Char1"/>
    <w:uiPriority w:val="99"/>
    <w:semiHidden/>
    <w:unhideWhenUsed/>
    <w:qFormat/>
    <w:rPr>
      <w:sz w:val="18"/>
      <w:szCs w:val="18"/>
    </w:rPr>
  </w:style>
  <w:style w:type="paragraph" w:styleId="aff2">
    <w:name w:val="footer"/>
    <w:basedOn w:val="afb"/>
    <w:link w:val="Char2"/>
    <w:uiPriority w:val="99"/>
    <w:unhideWhenUsed/>
    <w:qFormat/>
    <w:pPr>
      <w:tabs>
        <w:tab w:val="center" w:pos="4153"/>
        <w:tab w:val="right" w:pos="8306"/>
      </w:tabs>
      <w:snapToGrid w:val="0"/>
      <w:jc w:val="left"/>
    </w:pPr>
    <w:rPr>
      <w:sz w:val="18"/>
      <w:szCs w:val="18"/>
    </w:rPr>
  </w:style>
  <w:style w:type="paragraph" w:styleId="aff3">
    <w:name w:val="header"/>
    <w:basedOn w:val="afb"/>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ff4">
    <w:name w:val="Normal (Web)"/>
    <w:basedOn w:val="afb"/>
    <w:uiPriority w:val="99"/>
    <w:semiHidden/>
    <w:unhideWhenUsed/>
    <w:rPr>
      <w:sz w:val="24"/>
    </w:rPr>
  </w:style>
  <w:style w:type="table" w:styleId="aff5">
    <w:name w:val="Table Grid"/>
    <w:basedOn w:val="afd"/>
    <w:uiPriority w:val="3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6">
    <w:name w:val="Strong"/>
    <w:basedOn w:val="afc"/>
    <w:uiPriority w:val="22"/>
    <w:qFormat/>
    <w:rPr>
      <w:b/>
    </w:rPr>
  </w:style>
  <w:style w:type="character" w:styleId="aff7">
    <w:name w:val="Emphasis"/>
    <w:basedOn w:val="afc"/>
    <w:uiPriority w:val="20"/>
    <w:qFormat/>
    <w:rPr>
      <w:i/>
      <w:iCs/>
    </w:rPr>
  </w:style>
  <w:style w:type="character" w:styleId="aff8">
    <w:name w:val="footnote reference"/>
    <w:semiHidden/>
    <w:qFormat/>
    <w:rPr>
      <w:rFonts w:ascii="宋体" w:eastAsia="宋体" w:hAnsi="宋体" w:cs="Times New Roman"/>
      <w:spacing w:val="0"/>
      <w:sz w:val="18"/>
      <w:vertAlign w:val="superscript"/>
    </w:rPr>
  </w:style>
  <w:style w:type="character" w:customStyle="1" w:styleId="Char3">
    <w:name w:val="页眉 Char"/>
    <w:basedOn w:val="afc"/>
    <w:link w:val="aff3"/>
    <w:uiPriority w:val="99"/>
    <w:qFormat/>
    <w:rPr>
      <w:sz w:val="18"/>
      <w:szCs w:val="18"/>
    </w:rPr>
  </w:style>
  <w:style w:type="character" w:customStyle="1" w:styleId="Char2">
    <w:name w:val="页脚 Char"/>
    <w:basedOn w:val="afc"/>
    <w:link w:val="aff2"/>
    <w:uiPriority w:val="99"/>
    <w:qFormat/>
    <w:rPr>
      <w:sz w:val="18"/>
      <w:szCs w:val="18"/>
    </w:rPr>
  </w:style>
  <w:style w:type="character" w:customStyle="1" w:styleId="Char4">
    <w:name w:val="段 Char"/>
    <w:basedOn w:val="afc"/>
    <w:link w:val="aff9"/>
    <w:qFormat/>
    <w:locked/>
    <w:rPr>
      <w:rFonts w:ascii="宋体" w:eastAsia="宋体" w:hAnsi="Times New Roman" w:cs="Times New Roman"/>
      <w:kern w:val="0"/>
      <w:szCs w:val="20"/>
    </w:rPr>
  </w:style>
  <w:style w:type="paragraph" w:customStyle="1" w:styleId="aff9">
    <w:name w:val="段"/>
    <w:link w:val="Char4"/>
    <w:qFormat/>
    <w:pPr>
      <w:tabs>
        <w:tab w:val="center" w:pos="4201"/>
        <w:tab w:val="right" w:leader="dot" w:pos="9298"/>
      </w:tabs>
      <w:autoSpaceDE w:val="0"/>
      <w:autoSpaceDN w:val="0"/>
      <w:ind w:firstLineChars="200" w:firstLine="420"/>
      <w:jc w:val="both"/>
    </w:pPr>
    <w:rPr>
      <w:rFonts w:ascii="宋体"/>
      <w:sz w:val="21"/>
    </w:rPr>
  </w:style>
  <w:style w:type="paragraph" w:styleId="affa">
    <w:name w:val="List Paragraph"/>
    <w:basedOn w:val="afb"/>
    <w:uiPriority w:val="99"/>
    <w:qFormat/>
    <w:pPr>
      <w:ind w:firstLineChars="200" w:firstLine="420"/>
    </w:pPr>
  </w:style>
  <w:style w:type="character" w:customStyle="1" w:styleId="Char0">
    <w:name w:val="日期 Char"/>
    <w:basedOn w:val="afc"/>
    <w:link w:val="aff0"/>
    <w:uiPriority w:val="99"/>
    <w:semiHidden/>
    <w:qFormat/>
    <w:rPr>
      <w:rFonts w:ascii="Times New Roman" w:eastAsia="宋体" w:hAnsi="Times New Roman" w:cs="Times New Roman"/>
      <w:szCs w:val="20"/>
    </w:rPr>
  </w:style>
  <w:style w:type="character" w:customStyle="1" w:styleId="Char1">
    <w:name w:val="批注框文本 Char"/>
    <w:basedOn w:val="afc"/>
    <w:link w:val="aff1"/>
    <w:uiPriority w:val="99"/>
    <w:semiHidden/>
    <w:qFormat/>
    <w:rPr>
      <w:rFonts w:ascii="Times New Roman" w:eastAsia="宋体" w:hAnsi="Times New Roman" w:cs="Times New Roman"/>
      <w:sz w:val="18"/>
      <w:szCs w:val="18"/>
    </w:rPr>
  </w:style>
  <w:style w:type="character" w:customStyle="1" w:styleId="apple-converted-space">
    <w:name w:val="apple-converted-space"/>
    <w:basedOn w:val="afc"/>
    <w:qFormat/>
  </w:style>
  <w:style w:type="paragraph" w:customStyle="1" w:styleId="a8">
    <w:name w:val="一级条标题"/>
    <w:next w:val="aff9"/>
    <w:qFormat/>
    <w:pPr>
      <w:numPr>
        <w:ilvl w:val="1"/>
        <w:numId w:val="1"/>
      </w:numPr>
      <w:spacing w:beforeLines="50" w:afterLines="50"/>
      <w:outlineLvl w:val="2"/>
    </w:pPr>
    <w:rPr>
      <w:rFonts w:ascii="黑体" w:eastAsia="黑体"/>
      <w:sz w:val="21"/>
      <w:szCs w:val="21"/>
    </w:rPr>
  </w:style>
  <w:style w:type="paragraph" w:customStyle="1" w:styleId="a7">
    <w:name w:val="章标题"/>
    <w:next w:val="aff9"/>
    <w:qFormat/>
    <w:pPr>
      <w:numPr>
        <w:numId w:val="1"/>
      </w:numPr>
      <w:spacing w:beforeLines="100" w:afterLines="100"/>
      <w:jc w:val="both"/>
      <w:outlineLvl w:val="1"/>
    </w:pPr>
    <w:rPr>
      <w:rFonts w:ascii="黑体" w:eastAsia="黑体"/>
      <w:sz w:val="21"/>
    </w:rPr>
  </w:style>
  <w:style w:type="paragraph" w:customStyle="1" w:styleId="a9">
    <w:name w:val="二级条标题"/>
    <w:basedOn w:val="a8"/>
    <w:next w:val="aff9"/>
    <w:qFormat/>
    <w:pPr>
      <w:numPr>
        <w:ilvl w:val="2"/>
      </w:numPr>
      <w:spacing w:before="50" w:after="50"/>
      <w:outlineLvl w:val="3"/>
    </w:pPr>
  </w:style>
  <w:style w:type="paragraph" w:customStyle="1" w:styleId="aa">
    <w:name w:val="三级条标题"/>
    <w:basedOn w:val="a9"/>
    <w:next w:val="aff9"/>
    <w:qFormat/>
    <w:pPr>
      <w:numPr>
        <w:ilvl w:val="3"/>
      </w:numPr>
      <w:outlineLvl w:val="4"/>
    </w:pPr>
  </w:style>
  <w:style w:type="paragraph" w:customStyle="1" w:styleId="ab">
    <w:name w:val="四级条标题"/>
    <w:basedOn w:val="aa"/>
    <w:next w:val="aff9"/>
    <w:qFormat/>
    <w:pPr>
      <w:numPr>
        <w:ilvl w:val="4"/>
      </w:numPr>
      <w:outlineLvl w:val="5"/>
    </w:pPr>
  </w:style>
  <w:style w:type="paragraph" w:customStyle="1" w:styleId="ac">
    <w:name w:val="五级条标题"/>
    <w:basedOn w:val="ab"/>
    <w:next w:val="aff9"/>
    <w:qFormat/>
    <w:pPr>
      <w:numPr>
        <w:ilvl w:val="5"/>
      </w:numPr>
      <w:outlineLvl w:val="6"/>
    </w:pPr>
  </w:style>
  <w:style w:type="paragraph" w:customStyle="1" w:styleId="affb">
    <w:name w:val="封面标准名称"/>
    <w:qFormat/>
    <w:pPr>
      <w:framePr w:w="9639" w:h="6917" w:wrap="around" w:vAnchor="page" w:hAnchor="page" w:xAlign="center" w:y="6408" w:anchorLock="1"/>
      <w:widowControl w:val="0"/>
      <w:spacing w:line="680" w:lineRule="exact"/>
      <w:jc w:val="center"/>
    </w:pPr>
    <w:rPr>
      <w:rFonts w:ascii="黑体" w:eastAsia="黑体"/>
      <w:sz w:val="52"/>
    </w:rPr>
  </w:style>
  <w:style w:type="paragraph" w:customStyle="1" w:styleId="af1">
    <w:name w:val="正文表标题"/>
    <w:next w:val="aff9"/>
    <w:qFormat/>
    <w:pPr>
      <w:numPr>
        <w:numId w:val="2"/>
      </w:numPr>
      <w:spacing w:beforeLines="50" w:afterLines="50"/>
      <w:jc w:val="center"/>
    </w:pPr>
    <w:rPr>
      <w:rFonts w:ascii="黑体" w:eastAsia="黑体"/>
      <w:sz w:val="21"/>
    </w:rPr>
  </w:style>
  <w:style w:type="paragraph" w:customStyle="1" w:styleId="ad">
    <w:name w:val="列项——（一级）"/>
    <w:qFormat/>
    <w:pPr>
      <w:widowControl w:val="0"/>
      <w:numPr>
        <w:numId w:val="3"/>
      </w:numPr>
      <w:jc w:val="both"/>
    </w:pPr>
    <w:rPr>
      <w:rFonts w:ascii="宋体"/>
      <w:sz w:val="21"/>
    </w:r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
    <w:name w:val="列项◆（三级）"/>
    <w:basedOn w:val="afb"/>
    <w:qFormat/>
    <w:pPr>
      <w:numPr>
        <w:ilvl w:val="2"/>
        <w:numId w:val="3"/>
      </w:numPr>
    </w:pPr>
    <w:rPr>
      <w:rFonts w:ascii="宋体"/>
      <w:szCs w:val="21"/>
    </w:rPr>
  </w:style>
  <w:style w:type="paragraph" w:styleId="affc">
    <w:name w:val="No Spacing"/>
    <w:uiPriority w:val="1"/>
    <w:qFormat/>
    <w:pPr>
      <w:widowControl w:val="0"/>
      <w:jc w:val="both"/>
    </w:pPr>
    <w:rPr>
      <w:kern w:val="2"/>
      <w:sz w:val="21"/>
      <w:szCs w:val="24"/>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affd">
    <w:name w:val="标准文件_表格"/>
    <w:basedOn w:val="afb"/>
    <w:qFormat/>
    <w:pPr>
      <w:widowControl/>
      <w:autoSpaceDE w:val="0"/>
      <w:autoSpaceDN w:val="0"/>
      <w:jc w:val="center"/>
    </w:pPr>
    <w:rPr>
      <w:rFonts w:ascii="宋体"/>
      <w:kern w:val="0"/>
      <w:sz w:val="18"/>
    </w:rPr>
  </w:style>
  <w:style w:type="paragraph" w:customStyle="1" w:styleId="affe">
    <w:name w:val="标准文件_段"/>
    <w:link w:val="Char5"/>
    <w:qFormat/>
    <w:pPr>
      <w:autoSpaceDE w:val="0"/>
      <w:autoSpaceDN w:val="0"/>
      <w:ind w:firstLineChars="200" w:firstLine="200"/>
      <w:jc w:val="both"/>
    </w:pPr>
    <w:rPr>
      <w:rFonts w:ascii="宋体"/>
      <w:sz w:val="21"/>
    </w:rPr>
  </w:style>
  <w:style w:type="paragraph" w:customStyle="1" w:styleId="afff">
    <w:name w:val="标准文件_正文表标题"/>
    <w:next w:val="affe"/>
    <w:qFormat/>
    <w:pPr>
      <w:tabs>
        <w:tab w:val="left" w:pos="0"/>
      </w:tabs>
      <w:spacing w:beforeLines="50" w:before="50" w:afterLines="50" w:after="50"/>
      <w:jc w:val="center"/>
    </w:pPr>
    <w:rPr>
      <w:rFonts w:ascii="黑体" w:eastAsia="黑体"/>
      <w:sz w:val="21"/>
    </w:rPr>
  </w:style>
  <w:style w:type="character" w:customStyle="1" w:styleId="Char5">
    <w:name w:val="标准文件_段 Char"/>
    <w:link w:val="affe"/>
    <w:qFormat/>
    <w:rPr>
      <w:rFonts w:ascii="宋体" w:eastAsia="宋体" w:hAnsi="Times New Roman" w:cs="Times New Roman"/>
      <w:kern w:val="0"/>
      <w:szCs w:val="20"/>
    </w:rPr>
  </w:style>
  <w:style w:type="paragraph" w:customStyle="1" w:styleId="af9">
    <w:name w:val="标准文件_注："/>
    <w:next w:val="affe"/>
    <w:qFormat/>
    <w:pPr>
      <w:widowControl w:val="0"/>
      <w:numPr>
        <w:numId w:val="4"/>
      </w:numPr>
      <w:autoSpaceDE w:val="0"/>
      <w:autoSpaceDN w:val="0"/>
      <w:jc w:val="both"/>
    </w:pPr>
    <w:rPr>
      <w:rFonts w:ascii="宋体"/>
      <w:sz w:val="18"/>
      <w:szCs w:val="18"/>
    </w:rPr>
  </w:style>
  <w:style w:type="paragraph" w:customStyle="1" w:styleId="afff0">
    <w:name w:val="标准文件_脚注内容"/>
    <w:basedOn w:val="affe"/>
    <w:qFormat/>
    <w:pPr>
      <w:ind w:leftChars="200" w:left="400" w:hangingChars="200" w:hanging="200"/>
    </w:pPr>
    <w:rPr>
      <w:sz w:val="15"/>
    </w:rPr>
  </w:style>
  <w:style w:type="paragraph" w:customStyle="1" w:styleId="af5">
    <w:name w:val="标准文件_二级条标题"/>
    <w:next w:val="affe"/>
    <w:qFormat/>
    <w:pPr>
      <w:widowControl w:val="0"/>
      <w:numPr>
        <w:ilvl w:val="3"/>
        <w:numId w:val="5"/>
      </w:numPr>
      <w:spacing w:beforeLines="50" w:before="50" w:afterLines="50" w:after="50"/>
      <w:jc w:val="both"/>
      <w:outlineLvl w:val="2"/>
    </w:pPr>
    <w:rPr>
      <w:rFonts w:ascii="黑体" w:eastAsia="黑体"/>
      <w:sz w:val="21"/>
    </w:rPr>
  </w:style>
  <w:style w:type="paragraph" w:customStyle="1" w:styleId="af6">
    <w:name w:val="标准文件_三级条标题"/>
    <w:basedOn w:val="af5"/>
    <w:next w:val="affe"/>
    <w:qFormat/>
    <w:pPr>
      <w:widowControl/>
      <w:numPr>
        <w:ilvl w:val="4"/>
      </w:numPr>
      <w:outlineLvl w:val="3"/>
    </w:pPr>
  </w:style>
  <w:style w:type="paragraph" w:customStyle="1" w:styleId="af7">
    <w:name w:val="标准文件_四级条标题"/>
    <w:next w:val="affe"/>
    <w:qFormat/>
    <w:pPr>
      <w:widowControl w:val="0"/>
      <w:numPr>
        <w:ilvl w:val="5"/>
        <w:numId w:val="5"/>
      </w:numPr>
      <w:spacing w:beforeLines="50" w:before="50" w:afterLines="50" w:after="50"/>
      <w:jc w:val="both"/>
      <w:outlineLvl w:val="4"/>
    </w:pPr>
    <w:rPr>
      <w:rFonts w:ascii="黑体" w:eastAsia="黑体"/>
      <w:sz w:val="21"/>
    </w:rPr>
  </w:style>
  <w:style w:type="paragraph" w:customStyle="1" w:styleId="af8">
    <w:name w:val="标准文件_五级条标题"/>
    <w:next w:val="affe"/>
    <w:qFormat/>
    <w:pPr>
      <w:widowControl w:val="0"/>
      <w:numPr>
        <w:ilvl w:val="6"/>
        <w:numId w:val="5"/>
      </w:numPr>
      <w:spacing w:beforeLines="50" w:before="50" w:afterLines="50" w:after="50"/>
      <w:jc w:val="both"/>
      <w:outlineLvl w:val="5"/>
    </w:pPr>
    <w:rPr>
      <w:rFonts w:ascii="黑体" w:eastAsia="黑体"/>
      <w:sz w:val="21"/>
    </w:rPr>
  </w:style>
  <w:style w:type="paragraph" w:customStyle="1" w:styleId="af3">
    <w:name w:val="标准文件_章标题"/>
    <w:next w:val="affe"/>
    <w:qFormat/>
    <w:pPr>
      <w:numPr>
        <w:ilvl w:val="1"/>
        <w:numId w:val="5"/>
      </w:numPr>
      <w:spacing w:beforeLines="100" w:before="100" w:afterLines="100" w:after="100"/>
      <w:jc w:val="both"/>
      <w:outlineLvl w:val="0"/>
    </w:pPr>
    <w:rPr>
      <w:rFonts w:ascii="黑体" w:eastAsia="黑体"/>
      <w:sz w:val="21"/>
    </w:rPr>
  </w:style>
  <w:style w:type="paragraph" w:customStyle="1" w:styleId="af4">
    <w:name w:val="标准文件_一级条标题"/>
    <w:basedOn w:val="af3"/>
    <w:next w:val="affe"/>
    <w:qFormat/>
    <w:pPr>
      <w:numPr>
        <w:ilvl w:val="2"/>
      </w:numPr>
      <w:spacing w:beforeLines="50" w:before="50" w:afterLines="50" w:after="50"/>
      <w:outlineLvl w:val="1"/>
    </w:pPr>
  </w:style>
  <w:style w:type="paragraph" w:customStyle="1" w:styleId="af2">
    <w:name w:val="前言标题"/>
    <w:next w:val="afb"/>
    <w:qFormat/>
    <w:pPr>
      <w:numPr>
        <w:numId w:val="5"/>
      </w:numPr>
      <w:shd w:val="clear" w:color="FFFFFF" w:fill="FFFFFF"/>
      <w:spacing w:before="540" w:after="600"/>
      <w:jc w:val="center"/>
      <w:outlineLvl w:val="0"/>
    </w:pPr>
    <w:rPr>
      <w:rFonts w:ascii="黑体" w:eastAsia="黑体"/>
      <w:sz w:val="32"/>
    </w:rPr>
  </w:style>
  <w:style w:type="paragraph" w:customStyle="1" w:styleId="afa">
    <w:name w:val="标准文件_术语条一"/>
    <w:basedOn w:val="afb"/>
    <w:next w:val="affe"/>
    <w:qFormat/>
    <w:pPr>
      <w:widowControl/>
      <w:numPr>
        <w:ilvl w:val="2"/>
        <w:numId w:val="6"/>
      </w:numPr>
    </w:pPr>
    <w:rPr>
      <w:rFonts w:ascii="宋体"/>
      <w:kern w:val="0"/>
    </w:rPr>
  </w:style>
  <w:style w:type="paragraph" w:customStyle="1" w:styleId="af0">
    <w:name w:val="标准文件_正文图标题"/>
    <w:next w:val="affe"/>
    <w:qFormat/>
    <w:pPr>
      <w:numPr>
        <w:numId w:val="7"/>
      </w:numPr>
      <w:spacing w:beforeLines="50" w:before="50" w:afterLines="50" w:after="50"/>
      <w:jc w:val="center"/>
    </w:pPr>
    <w:rPr>
      <w:rFonts w:ascii="黑体" w:eastAsia="黑体"/>
      <w:sz w:val="21"/>
    </w:rPr>
  </w:style>
  <w:style w:type="paragraph" w:customStyle="1" w:styleId="a">
    <w:name w:val="标准文件_注×："/>
    <w:qFormat/>
    <w:pPr>
      <w:widowControl w:val="0"/>
      <w:numPr>
        <w:numId w:val="8"/>
      </w:numPr>
      <w:autoSpaceDE w:val="0"/>
      <w:autoSpaceDN w:val="0"/>
      <w:jc w:val="both"/>
    </w:pPr>
    <w:rPr>
      <w:rFonts w:ascii="宋体"/>
      <w:sz w:val="18"/>
      <w:szCs w:val="18"/>
    </w:rPr>
  </w:style>
  <w:style w:type="table" w:customStyle="1" w:styleId="1">
    <w:name w:val="网格型1"/>
    <w:basedOn w:val="afd"/>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fd"/>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fc"/>
    <w:qFormat/>
    <w:rPr>
      <w:rFonts w:ascii="宋体" w:eastAsia="宋体" w:hAnsi="宋体" w:hint="eastAsia"/>
      <w:color w:val="000000"/>
      <w:sz w:val="22"/>
      <w:szCs w:val="22"/>
    </w:rPr>
  </w:style>
  <w:style w:type="paragraph" w:customStyle="1" w:styleId="a0">
    <w:name w:val="标准文件_前言、引言标题"/>
    <w:next w:val="afb"/>
    <w:qFormat/>
    <w:pPr>
      <w:numPr>
        <w:numId w:val="9"/>
      </w:numPr>
      <w:shd w:val="clear" w:color="FFFFFF" w:fill="FFFFFF"/>
      <w:spacing w:before="480" w:afterLines="150" w:after="150"/>
      <w:jc w:val="center"/>
      <w:outlineLvl w:val="0"/>
    </w:pPr>
    <w:rPr>
      <w:rFonts w:ascii="黑体" w:eastAsia="黑体"/>
      <w:sz w:val="32"/>
    </w:rPr>
  </w:style>
  <w:style w:type="paragraph" w:customStyle="1" w:styleId="a1">
    <w:name w:val="标准文件_引言一级条标题"/>
    <w:basedOn w:val="affe"/>
    <w:next w:val="affe"/>
    <w:qFormat/>
    <w:pPr>
      <w:numPr>
        <w:ilvl w:val="1"/>
        <w:numId w:val="9"/>
      </w:numPr>
      <w:spacing w:beforeLines="50" w:before="50" w:afterLines="50" w:after="50"/>
      <w:ind w:firstLineChars="0"/>
    </w:pPr>
    <w:rPr>
      <w:rFonts w:ascii="黑体" w:eastAsia="黑体"/>
    </w:rPr>
  </w:style>
  <w:style w:type="paragraph" w:customStyle="1" w:styleId="a2">
    <w:name w:val="标准文件_引言二级条标题"/>
    <w:basedOn w:val="affe"/>
    <w:next w:val="affe"/>
    <w:qFormat/>
    <w:pPr>
      <w:numPr>
        <w:ilvl w:val="2"/>
        <w:numId w:val="9"/>
      </w:numPr>
      <w:spacing w:beforeLines="50" w:before="50" w:afterLines="50" w:after="50"/>
      <w:ind w:firstLineChars="0"/>
    </w:pPr>
    <w:rPr>
      <w:rFonts w:ascii="黑体" w:eastAsia="黑体"/>
    </w:rPr>
  </w:style>
  <w:style w:type="paragraph" w:customStyle="1" w:styleId="a3">
    <w:name w:val="标准文件_引言三级条标题"/>
    <w:basedOn w:val="affe"/>
    <w:next w:val="affe"/>
    <w:qFormat/>
    <w:pPr>
      <w:numPr>
        <w:ilvl w:val="3"/>
        <w:numId w:val="9"/>
      </w:numPr>
      <w:spacing w:beforeLines="50" w:before="50" w:afterLines="50" w:after="50"/>
      <w:ind w:firstLineChars="0"/>
    </w:pPr>
    <w:rPr>
      <w:rFonts w:ascii="黑体" w:eastAsia="黑体"/>
    </w:rPr>
  </w:style>
  <w:style w:type="paragraph" w:customStyle="1" w:styleId="a4">
    <w:name w:val="标准文件_引言四级条标题"/>
    <w:basedOn w:val="affe"/>
    <w:next w:val="affe"/>
    <w:qFormat/>
    <w:pPr>
      <w:numPr>
        <w:ilvl w:val="4"/>
        <w:numId w:val="9"/>
      </w:numPr>
      <w:spacing w:beforeLines="50" w:before="50" w:afterLines="50" w:after="50"/>
      <w:ind w:firstLineChars="0"/>
    </w:pPr>
    <w:rPr>
      <w:rFonts w:ascii="黑体" w:eastAsia="黑体"/>
    </w:rPr>
  </w:style>
  <w:style w:type="paragraph" w:customStyle="1" w:styleId="a5">
    <w:name w:val="标准文件_引言五级条标题"/>
    <w:basedOn w:val="affe"/>
    <w:next w:val="affe"/>
    <w:qFormat/>
    <w:pPr>
      <w:numPr>
        <w:ilvl w:val="5"/>
        <w:numId w:val="9"/>
      </w:numPr>
      <w:spacing w:beforeLines="50" w:before="50" w:afterLines="50" w:after="50"/>
      <w:ind w:firstLineChars="0"/>
    </w:pPr>
    <w:rPr>
      <w:rFonts w:ascii="黑体" w:eastAsia="黑体"/>
    </w:rPr>
  </w:style>
  <w:style w:type="paragraph" w:customStyle="1" w:styleId="afff1">
    <w:name w:val="标准文件_数字编号列项（二级）"/>
    <w:pPr>
      <w:tabs>
        <w:tab w:val="left" w:pos="851"/>
        <w:tab w:val="left" w:pos="1276"/>
      </w:tabs>
      <w:ind w:left="1276" w:hanging="425"/>
      <w:jc w:val="both"/>
    </w:pPr>
    <w:rPr>
      <w:rFonts w:ascii="宋体"/>
      <w:sz w:val="21"/>
    </w:rPr>
  </w:style>
  <w:style w:type="paragraph" w:customStyle="1" w:styleId="afff2">
    <w:name w:val="标准文件_编号列项（三级）"/>
    <w:pPr>
      <w:tabs>
        <w:tab w:val="left" w:pos="851"/>
      </w:tabs>
      <w:ind w:left="1701" w:hanging="425"/>
    </w:pPr>
    <w:rPr>
      <w:rFonts w:ascii="宋体"/>
      <w:sz w:val="21"/>
    </w:rPr>
  </w:style>
  <w:style w:type="paragraph" w:customStyle="1" w:styleId="afff3">
    <w:name w:val="标准文件_字母编号列项（一级）"/>
    <w:pPr>
      <w:tabs>
        <w:tab w:val="left" w:pos="851"/>
      </w:tabs>
      <w:ind w:left="851" w:hanging="426"/>
      <w:jc w:val="both"/>
    </w:pPr>
    <w:rPr>
      <w:rFonts w:ascii="宋体"/>
      <w:sz w:val="21"/>
    </w:rPr>
  </w:style>
  <w:style w:type="paragraph" w:customStyle="1" w:styleId="a6">
    <w:name w:val="标准文件_附录英文标识"/>
    <w:next w:val="aff"/>
    <w:qFormat/>
    <w:pPr>
      <w:numPr>
        <w:numId w:val="10"/>
      </w:numPr>
      <w:tabs>
        <w:tab w:val="left" w:pos="6406"/>
      </w:tabs>
      <w:spacing w:before="220" w:after="320"/>
      <w:jc w:val="center"/>
      <w:outlineLvl w:val="0"/>
    </w:pPr>
    <w:rPr>
      <w:rFonts w:ascii="黑体" w:eastAsia="黑体"/>
      <w:sz w:val="21"/>
    </w:rPr>
  </w:style>
  <w:style w:type="character" w:customStyle="1" w:styleId="Char">
    <w:name w:val="正文文本 Char"/>
    <w:basedOn w:val="afc"/>
    <w:link w:val="aff"/>
    <w:uiPriority w:val="99"/>
    <w:semiHidden/>
    <w:rPr>
      <w:rFonts w:ascii="Times New Roman" w:eastAsia="宋体" w:hAnsi="Times New Roman" w:cs="Times New Roman"/>
      <w:kern w:val="2"/>
      <w:sz w:val="21"/>
    </w:rPr>
  </w:style>
  <w:style w:type="paragraph" w:customStyle="1" w:styleId="afff4">
    <w:name w:val="标准文件_标准正文"/>
    <w:basedOn w:val="afb"/>
    <w:next w:val="affe"/>
    <w:pPr>
      <w:adjustRightInd w:val="0"/>
      <w:snapToGrid w:val="0"/>
      <w:spacing w:line="400" w:lineRule="exact"/>
      <w:ind w:firstLineChars="200" w:firstLine="200"/>
    </w:pPr>
    <w:rPr>
      <w:rFonts w:ascii="Calibri" w:hAnsi="Calibri"/>
      <w:kern w:val="0"/>
      <w:szCs w:val="21"/>
    </w:rPr>
  </w:style>
  <w:style w:type="paragraph" w:customStyle="1" w:styleId="afff5">
    <w:name w:val="标准文件_正文公式"/>
    <w:basedOn w:val="afb"/>
    <w:next w:val="afff4"/>
    <w:pPr>
      <w:tabs>
        <w:tab w:val="center" w:pos="4678"/>
        <w:tab w:val="right" w:leader="middleDot" w:pos="9356"/>
      </w:tabs>
      <w:adjustRightInd w:val="0"/>
    </w:pPr>
    <w:rPr>
      <w:rFonts w:ascii="宋体" w:hAnsi="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relations xmlns="http://www.yonyou.com/relation"/>
</file>

<file path=customXml/item3.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FA0F4FE-B6C0-40E7-A5B2-24532A0F2CB4}">
  <ds:schemaRefs>
    <ds:schemaRef ds:uri="http://www.yonyou.com/datasource"/>
  </ds:schemaRefs>
</ds:datastoreItem>
</file>

<file path=customXml/itemProps2.xml><?xml version="1.0" encoding="utf-8"?>
<ds:datastoreItem xmlns:ds="http://schemas.openxmlformats.org/officeDocument/2006/customXml" ds:itemID="{0F3686C0-632E-4559-B249-9624489AC9EA}">
  <ds:schemaRefs>
    <ds:schemaRef ds:uri="http://www.yonyou.com/relation"/>
  </ds:schemaRefs>
</ds:datastoreItem>
</file>

<file path=customXml/itemProps3.xml><?xml version="1.0" encoding="utf-8"?>
<ds:datastoreItem xmlns:ds="http://schemas.openxmlformats.org/officeDocument/2006/customXml" ds:itemID="{3D0D5733-E926-421D-A147-9E437036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937</Words>
  <Characters>5347</Characters>
  <Application>Microsoft Office Word</Application>
  <DocSecurity>0</DocSecurity>
  <Lines>44</Lines>
  <Paragraphs>12</Paragraphs>
  <ScaleCrop>false</ScaleCrop>
  <Company>China</Company>
  <LinksUpToDate>false</LinksUpToDate>
  <CharactersWithSpaces>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HC-0033</dc:creator>
  <cp:lastModifiedBy>Yun Dai(代云)</cp:lastModifiedBy>
  <cp:revision>140</cp:revision>
  <cp:lastPrinted>2021-08-25T14:42:00Z</cp:lastPrinted>
  <dcterms:created xsi:type="dcterms:W3CDTF">2023-10-09T11:07:00Z</dcterms:created>
  <dcterms:modified xsi:type="dcterms:W3CDTF">2025-07-14T05:41:00Z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eyJoZGlkIjoiOTQyOGMzODU4NTJhMTBkYzM2YTVkM2Q3ZWZmODQ2YTkiLCJ1c2VySWQiOiIzNzI5NzEwNjIifQ==</vt:lpwstr>
  </property>
  <property fmtid="{D5CDD505-2E9C-101B-9397-08002B2CF9AE}" pid="3" name="KSOProductBuildVer">
    <vt:lpwstr>2052-7.5.1.8994</vt:lpwstr>
  </property>
  <property fmtid="{D5CDD505-2E9C-101B-9397-08002B2CF9AE}" pid="4" name="ICV">
    <vt:lpwstr>F9EA29819EFA4CB282BA12FFA10455D6_12</vt:lpwstr>
  </property>
</Properties>
</file>